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85E6D" w14:textId="7EAA167A" w:rsidR="00CA760A" w:rsidRPr="00AD4611" w:rsidRDefault="00CA760A" w:rsidP="00CA760A">
      <w:pPr>
        <w:pStyle w:val="articletypeFAITH"/>
      </w:pPr>
      <w:r>
        <w:t>R</w:t>
      </w:r>
      <w:r w:rsidRPr="00AD4611">
        <w:t>esearch Article</w:t>
      </w:r>
    </w:p>
    <w:p w14:paraId="257B373E" w14:textId="74F14D46" w:rsidR="00CA760A" w:rsidRPr="003D7EA0" w:rsidRDefault="00116D39" w:rsidP="003D7EA0">
      <w:pPr>
        <w:pStyle w:val="AuthorNamesFAITH"/>
        <w:rPr>
          <w:snapToGrid w:val="0"/>
          <w:sz w:val="40"/>
          <w:szCs w:val="20"/>
        </w:rPr>
      </w:pPr>
      <w:r w:rsidRPr="003D7EA0">
        <w:rPr>
          <w:snapToGrid w:val="0"/>
          <w:sz w:val="40"/>
          <w:szCs w:val="20"/>
        </w:rPr>
        <w:t xml:space="preserve">Gamification </w:t>
      </w:r>
      <w:r w:rsidR="003D7EA0" w:rsidRPr="003D7EA0">
        <w:rPr>
          <w:snapToGrid w:val="0"/>
          <w:sz w:val="40"/>
          <w:szCs w:val="20"/>
        </w:rPr>
        <w:t>i</w:t>
      </w:r>
      <w:r w:rsidRPr="003D7EA0">
        <w:rPr>
          <w:snapToGrid w:val="0"/>
          <w:sz w:val="40"/>
          <w:szCs w:val="20"/>
        </w:rPr>
        <w:t xml:space="preserve">n Islamic Religious Education </w:t>
      </w:r>
      <w:r w:rsidR="003D7EA0" w:rsidRPr="003D7EA0">
        <w:rPr>
          <w:snapToGrid w:val="0"/>
          <w:sz w:val="40"/>
          <w:szCs w:val="20"/>
        </w:rPr>
        <w:t>f</w:t>
      </w:r>
      <w:r w:rsidRPr="003D7EA0">
        <w:rPr>
          <w:snapToGrid w:val="0"/>
          <w:sz w:val="40"/>
          <w:szCs w:val="20"/>
        </w:rPr>
        <w:t xml:space="preserve">or Primary Students: A Systematic Review </w:t>
      </w:r>
      <w:r w:rsidR="003D7EA0" w:rsidRPr="003D7EA0">
        <w:rPr>
          <w:snapToGrid w:val="0"/>
          <w:sz w:val="40"/>
          <w:szCs w:val="20"/>
        </w:rPr>
        <w:t>o</w:t>
      </w:r>
      <w:r w:rsidRPr="003D7EA0">
        <w:rPr>
          <w:snapToGrid w:val="0"/>
          <w:sz w:val="40"/>
          <w:szCs w:val="20"/>
        </w:rPr>
        <w:t xml:space="preserve">n Motivation, Emotional Engagement, </w:t>
      </w:r>
      <w:r w:rsidR="003D7EA0" w:rsidRPr="003D7EA0">
        <w:rPr>
          <w:snapToGrid w:val="0"/>
          <w:sz w:val="40"/>
          <w:szCs w:val="20"/>
        </w:rPr>
        <w:t>a</w:t>
      </w:r>
      <w:r w:rsidRPr="003D7EA0">
        <w:rPr>
          <w:snapToGrid w:val="0"/>
          <w:sz w:val="40"/>
          <w:szCs w:val="20"/>
        </w:rPr>
        <w:t>nd Learning Psychology</w:t>
      </w:r>
    </w:p>
    <w:p w14:paraId="5E07244A" w14:textId="54309906" w:rsidR="00116D39" w:rsidRPr="003D7EA0" w:rsidRDefault="00116D39" w:rsidP="003D7EA0">
      <w:pPr>
        <w:pStyle w:val="AuthorNamesFAITH"/>
      </w:pPr>
      <w:r w:rsidRPr="003D7EA0">
        <w:t>M. Al Ravi Azis</w:t>
      </w:r>
      <w:r w:rsidRPr="003D7EA0">
        <w:rPr>
          <w:vertAlign w:val="superscript"/>
        </w:rPr>
        <w:t>1*</w:t>
      </w:r>
      <w:r w:rsidRPr="003D7EA0">
        <w:t>, Koko Adya Winata</w:t>
      </w:r>
      <w:r w:rsidRPr="003D7EA0">
        <w:rPr>
          <w:vertAlign w:val="superscript"/>
        </w:rPr>
        <w:t>2</w:t>
      </w:r>
      <w:r w:rsidRPr="003D7EA0">
        <w:t>, Laesti Nurishlah</w:t>
      </w:r>
      <w:r w:rsidRPr="003D7EA0">
        <w:rPr>
          <w:vertAlign w:val="superscript"/>
        </w:rPr>
        <w:t>3</w:t>
      </w:r>
      <w:r w:rsidRPr="003D7EA0">
        <w:t>, Syifa Rohmati Mashfufah</w:t>
      </w:r>
      <w:r w:rsidRPr="003D7EA0">
        <w:rPr>
          <w:vertAlign w:val="superscript"/>
        </w:rPr>
        <w:t>4</w:t>
      </w:r>
      <w:r w:rsidRPr="003D7EA0">
        <w:t>, Romi Wilza</w:t>
      </w:r>
      <w:r w:rsidRPr="003D7EA0">
        <w:rPr>
          <w:vertAlign w:val="superscript"/>
        </w:rPr>
        <w:t>5</w:t>
      </w:r>
    </w:p>
    <w:tbl>
      <w:tblPr>
        <w:tblpPr w:leftFromText="198" w:rightFromText="198" w:vertAnchor="page" w:horzAnchor="margin" w:tblpY="11276"/>
        <w:tblW w:w="2410" w:type="dxa"/>
        <w:tblLayout w:type="fixed"/>
        <w:tblCellMar>
          <w:left w:w="0" w:type="dxa"/>
          <w:right w:w="0" w:type="dxa"/>
        </w:tblCellMar>
        <w:tblLook w:val="04A0" w:firstRow="1" w:lastRow="0" w:firstColumn="1" w:lastColumn="0" w:noHBand="0" w:noVBand="1"/>
      </w:tblPr>
      <w:tblGrid>
        <w:gridCol w:w="2410"/>
      </w:tblGrid>
      <w:tr w:rsidR="00CA760A" w:rsidRPr="003C6618" w14:paraId="6F42B5D4" w14:textId="77777777" w:rsidTr="000D5D94">
        <w:tc>
          <w:tcPr>
            <w:tcW w:w="2410" w:type="dxa"/>
          </w:tcPr>
          <w:p w14:paraId="038BD5D0" w14:textId="77777777" w:rsidR="00C46882" w:rsidRPr="00C46882" w:rsidRDefault="00C46882" w:rsidP="00C46882">
            <w:pPr>
              <w:tabs>
                <w:tab w:val="right" w:pos="2297"/>
              </w:tabs>
              <w:adjustRightInd w:val="0"/>
              <w:snapToGrid w:val="0"/>
              <w:spacing w:before="120" w:line="240" w:lineRule="atLeast"/>
              <w:ind w:right="113"/>
              <w:jc w:val="left"/>
              <w:rPr>
                <w:rFonts w:eastAsia="Times New Roman"/>
                <w:noProof w:val="0"/>
                <w:sz w:val="16"/>
                <w:szCs w:val="16"/>
                <w:lang w:eastAsia="de-DE" w:bidi="en-US"/>
              </w:rPr>
            </w:pPr>
            <w:bookmarkStart w:id="0" w:name="_Hlk166243576"/>
            <w:r w:rsidRPr="00C46882">
              <w:rPr>
                <w:rFonts w:eastAsia="Times New Roman"/>
                <w:noProof w:val="0"/>
                <w:sz w:val="16"/>
                <w:szCs w:val="16"/>
                <w:lang w:eastAsia="de-DE" w:bidi="en-US"/>
              </w:rPr>
              <w:t>Received: July 16, 2025</w:t>
            </w:r>
            <w:r w:rsidRPr="00C46882">
              <w:rPr>
                <w:rFonts w:eastAsia="Times New Roman"/>
                <w:noProof w:val="0"/>
                <w:sz w:val="16"/>
                <w:szCs w:val="16"/>
                <w:lang w:eastAsia="de-DE" w:bidi="en-US"/>
              </w:rPr>
              <w:tab/>
            </w:r>
          </w:p>
          <w:p w14:paraId="26963061" w14:textId="77777777" w:rsidR="00C46882" w:rsidRPr="00C46882" w:rsidRDefault="00C46882" w:rsidP="00C46882">
            <w:pPr>
              <w:adjustRightInd w:val="0"/>
              <w:snapToGrid w:val="0"/>
              <w:spacing w:line="240" w:lineRule="atLeast"/>
              <w:ind w:right="113"/>
              <w:jc w:val="left"/>
              <w:rPr>
                <w:rFonts w:eastAsia="Times New Roman"/>
                <w:noProof w:val="0"/>
                <w:sz w:val="16"/>
                <w:szCs w:val="16"/>
                <w:lang w:eastAsia="de-DE" w:bidi="en-US"/>
              </w:rPr>
            </w:pPr>
            <w:r w:rsidRPr="00C46882">
              <w:rPr>
                <w:rFonts w:eastAsia="Times New Roman"/>
                <w:noProof w:val="0"/>
                <w:sz w:val="16"/>
                <w:szCs w:val="16"/>
                <w:lang w:eastAsia="de-DE" w:bidi="en-US"/>
              </w:rPr>
              <w:t>Revised: September 10, 2025</w:t>
            </w:r>
          </w:p>
          <w:p w14:paraId="6ACACC55" w14:textId="77777777" w:rsidR="00C46882" w:rsidRPr="00C46882" w:rsidRDefault="00C46882" w:rsidP="00C46882">
            <w:pPr>
              <w:adjustRightInd w:val="0"/>
              <w:snapToGrid w:val="0"/>
              <w:spacing w:line="240" w:lineRule="atLeast"/>
              <w:ind w:right="113"/>
              <w:jc w:val="left"/>
              <w:rPr>
                <w:rFonts w:eastAsia="Times New Roman"/>
                <w:noProof w:val="0"/>
                <w:sz w:val="16"/>
                <w:szCs w:val="16"/>
                <w:lang w:eastAsia="de-DE" w:bidi="en-US"/>
              </w:rPr>
            </w:pPr>
            <w:r w:rsidRPr="00C46882">
              <w:rPr>
                <w:rFonts w:eastAsia="Times New Roman"/>
                <w:noProof w:val="0"/>
                <w:sz w:val="16"/>
                <w:szCs w:val="16"/>
                <w:lang w:eastAsia="de-DE" w:bidi="en-US"/>
              </w:rPr>
              <w:t>Accepted: November 5, 2025</w:t>
            </w:r>
          </w:p>
          <w:p w14:paraId="010DC395" w14:textId="77777777" w:rsidR="00C46882" w:rsidRPr="00C46882" w:rsidRDefault="00C46882" w:rsidP="00C46882">
            <w:pPr>
              <w:adjustRightInd w:val="0"/>
              <w:snapToGrid w:val="0"/>
              <w:spacing w:line="240" w:lineRule="atLeast"/>
              <w:ind w:right="113"/>
              <w:jc w:val="left"/>
              <w:rPr>
                <w:rFonts w:eastAsia="Times New Roman"/>
                <w:noProof w:val="0"/>
                <w:sz w:val="16"/>
                <w:lang w:eastAsia="de-DE" w:bidi="en-US"/>
              </w:rPr>
            </w:pPr>
            <w:r w:rsidRPr="00C46882">
              <w:rPr>
                <w:rFonts w:eastAsia="Times New Roman"/>
                <w:noProof w:val="0"/>
                <w:sz w:val="16"/>
                <w:lang w:eastAsia="de-DE" w:bidi="en-US"/>
              </w:rPr>
              <w:t>Published: December 31, 2025</w:t>
            </w:r>
          </w:p>
          <w:p w14:paraId="2A3FDE5F" w14:textId="0814D16C" w:rsidR="00CA760A" w:rsidRPr="00B21603" w:rsidRDefault="00C46882" w:rsidP="00C46882">
            <w:pPr>
              <w:pStyle w:val="historyFAITH"/>
              <w:spacing w:after="240"/>
              <w:rPr>
                <w:rFonts w:eastAsia="DengXian"/>
                <w:color w:val="auto"/>
              </w:rPr>
            </w:pPr>
            <w:r w:rsidRPr="00C46882">
              <w:rPr>
                <w:rFonts w:eastAsia="SimSun"/>
                <w:noProof/>
                <w:szCs w:val="14"/>
                <w:lang w:eastAsia="zh-CN" w:bidi="ar-SA"/>
              </w:rPr>
              <w:t>Current Ver.:</w:t>
            </w:r>
            <w:r w:rsidRPr="00C46882">
              <w:rPr>
                <w:rFonts w:eastAsia="DengXian"/>
                <w:noProof/>
                <w:color w:val="auto"/>
                <w:szCs w:val="14"/>
                <w:lang w:eastAsia="zh-CN" w:bidi="ar-SA"/>
              </w:rPr>
              <w:t xml:space="preserve"> </w:t>
            </w:r>
            <w:r w:rsidRPr="00C46882">
              <w:rPr>
                <w:rFonts w:eastAsia="SimSun"/>
                <w:noProof/>
                <w:szCs w:val="14"/>
                <w:lang w:eastAsia="zh-CN" w:bidi="ar-SA"/>
              </w:rPr>
              <w:t>December 31, 2025</w:t>
            </w:r>
          </w:p>
        </w:tc>
      </w:tr>
      <w:tr w:rsidR="00CA760A" w:rsidRPr="003C6618" w14:paraId="7CE2D7A9" w14:textId="77777777" w:rsidTr="000D5D94">
        <w:tc>
          <w:tcPr>
            <w:tcW w:w="2410" w:type="dxa"/>
          </w:tcPr>
          <w:p w14:paraId="6D46859E" w14:textId="6C1EDEE8" w:rsidR="00CA760A" w:rsidRPr="003C6618" w:rsidRDefault="006A4D10" w:rsidP="000D5D94">
            <w:pPr>
              <w:adjustRightInd w:val="0"/>
              <w:snapToGrid w:val="0"/>
              <w:spacing w:before="120" w:line="240" w:lineRule="atLeast"/>
              <w:ind w:right="113"/>
              <w:jc w:val="left"/>
              <w:rPr>
                <w:rFonts w:eastAsia="DengXian"/>
                <w:bCs/>
                <w:sz w:val="14"/>
                <w:szCs w:val="14"/>
                <w:lang w:bidi="en-US"/>
              </w:rPr>
            </w:pPr>
            <w:r w:rsidRPr="00E40431">
              <w:drawing>
                <wp:inline distT="0" distB="0" distL="0" distR="0" wp14:anchorId="39BFBD96" wp14:editId="316E361E">
                  <wp:extent cx="933450" cy="32385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3450" cy="323850"/>
                          </a:xfrm>
                          <a:prstGeom prst="rect">
                            <a:avLst/>
                          </a:prstGeom>
                          <a:noFill/>
                          <a:ln>
                            <a:noFill/>
                          </a:ln>
                        </pic:spPr>
                      </pic:pic>
                    </a:graphicData>
                  </a:graphic>
                </wp:inline>
              </w:drawing>
            </w:r>
          </w:p>
          <w:p w14:paraId="4580E520" w14:textId="77777777" w:rsidR="00CA760A" w:rsidRPr="00F83861" w:rsidRDefault="00CA760A" w:rsidP="000D5D94">
            <w:pPr>
              <w:pStyle w:val="historyFAITH"/>
              <w:spacing w:before="120"/>
            </w:pPr>
            <w:r w:rsidRPr="003C6618">
              <w:rPr>
                <w:rFonts w:eastAsia="DengXian"/>
              </w:rPr>
              <w:t xml:space="preserve">Copyright: </w:t>
            </w:r>
            <w:r>
              <w:rPr>
                <w:rFonts w:eastAsia="DengXian"/>
              </w:rPr>
              <w:t>© 2025</w:t>
            </w:r>
            <w:r w:rsidRPr="003C6618">
              <w:rPr>
                <w:rFonts w:eastAsia="DengXian"/>
              </w:rPr>
              <w:t xml:space="preserve"> </w:t>
            </w:r>
            <w:r>
              <w:rPr>
                <w:rFonts w:eastAsia="DengXian"/>
              </w:rPr>
              <w:t xml:space="preserve">by the authors. Submitted for possible open access publication under the terms and conditions of the Creative Commons </w:t>
            </w:r>
            <w:r w:rsidRPr="004D42B1">
              <w:rPr>
                <w:rFonts w:eastAsia="DengXian"/>
                <w:color w:val="auto"/>
              </w:rPr>
              <w:t>Attribution (CC BY SA) license (</w:t>
            </w:r>
            <w:hyperlink r:id="rId8" w:history="1">
              <w:r w:rsidRPr="004D42B1">
                <w:rPr>
                  <w:rStyle w:val="Hyperlink"/>
                  <w:rFonts w:eastAsia="DengXian"/>
                  <w:color w:val="auto"/>
                </w:rPr>
                <w:t>https://creativecommons.org/licenses/by-sa/4.0/</w:t>
              </w:r>
            </w:hyperlink>
            <w:r w:rsidRPr="004D42B1">
              <w:rPr>
                <w:rFonts w:eastAsia="DengXian"/>
                <w:color w:val="auto"/>
              </w:rPr>
              <w:t>)</w:t>
            </w:r>
          </w:p>
        </w:tc>
      </w:tr>
    </w:tbl>
    <w:bookmarkEnd w:id="0"/>
    <w:p w14:paraId="167469B6" w14:textId="64C55CEA" w:rsidR="00CA760A" w:rsidRPr="003D7EA0" w:rsidRDefault="00CA760A" w:rsidP="00116D39">
      <w:pPr>
        <w:pStyle w:val="authoraffiliationFAITH"/>
        <w:rPr>
          <w:vertAlign w:val="superscript"/>
        </w:rPr>
      </w:pPr>
      <w:r w:rsidRPr="005A3332">
        <w:rPr>
          <w:vertAlign w:val="superscript"/>
        </w:rPr>
        <w:t>1</w:t>
      </w:r>
      <w:r w:rsidR="003D7EA0">
        <w:rPr>
          <w:vertAlign w:val="superscript"/>
        </w:rPr>
        <w:t>-</w:t>
      </w:r>
      <w:r w:rsidR="00116D39">
        <w:rPr>
          <w:vertAlign w:val="superscript"/>
        </w:rPr>
        <w:t>5</w:t>
      </w:r>
      <w:r w:rsidR="00116D39" w:rsidRPr="003D7EA0">
        <w:rPr>
          <w:vertAlign w:val="superscript"/>
        </w:rPr>
        <w:t xml:space="preserve"> </w:t>
      </w:r>
      <w:r w:rsidR="00116D39" w:rsidRPr="003D7EA0">
        <w:t>Sekolah Tinggi Agama Islam Sabili Bandung, Indonesia</w:t>
      </w:r>
    </w:p>
    <w:p w14:paraId="0B0826EA" w14:textId="436CBC9F" w:rsidR="00CA760A" w:rsidRPr="00550626" w:rsidRDefault="00CA760A" w:rsidP="00CA760A">
      <w:pPr>
        <w:pStyle w:val="authoraffiliationFAITH"/>
      </w:pPr>
      <w:r w:rsidRPr="00633CE0">
        <w:rPr>
          <w:b/>
        </w:rPr>
        <w:t>*</w:t>
      </w:r>
      <w:r w:rsidRPr="00D945EC">
        <w:tab/>
        <w:t>Correspond</w:t>
      </w:r>
      <w:r>
        <w:t>ing Author:</w:t>
      </w:r>
      <w:r w:rsidR="003D7EA0">
        <w:t xml:space="preserve"> e-mail:</w:t>
      </w:r>
      <w:r>
        <w:t xml:space="preserve"> </w:t>
      </w:r>
      <w:hyperlink r:id="rId9" w:history="1">
        <w:r w:rsidR="003D7EA0" w:rsidRPr="005170B6">
          <w:rPr>
            <w:rStyle w:val="Hyperlink"/>
          </w:rPr>
          <w:t>m.alraviazis@staisabili.ac.id</w:t>
        </w:r>
      </w:hyperlink>
      <w:r w:rsidR="003D7EA0">
        <w:t xml:space="preserve"> </w:t>
      </w:r>
    </w:p>
    <w:p w14:paraId="52C99089" w14:textId="1F9C082D" w:rsidR="00CA760A" w:rsidRPr="00550626" w:rsidRDefault="00CA760A" w:rsidP="003D7EA0">
      <w:pPr>
        <w:pStyle w:val="abstractFAITH"/>
        <w:spacing w:line="228" w:lineRule="auto"/>
        <w:rPr>
          <w:szCs w:val="18"/>
        </w:rPr>
      </w:pPr>
      <w:r w:rsidRPr="00550626">
        <w:rPr>
          <w:b/>
          <w:szCs w:val="18"/>
        </w:rPr>
        <w:t xml:space="preserve">Abstract: </w:t>
      </w:r>
      <w:r w:rsidR="00116D39" w:rsidRPr="00116D39">
        <w:t>This article delves into the application of gamification in Islamic Religious Education (IRE) for primary school students, focusing on its impact on motivation, emotional engagement, and learning psychology. It offers a systematic review of relevant studies, evaluating both the positive outcomes and challenges of using gamification in IRE. A thorough library research approach was used, drawing from academic journals, books, and conference papers. Key databases like Google Scholar, JSTOR, and ERIC were searched to identify studies published between 2010 and 2025. Studies that met specific criteria relevance to the topic, educational level, and a focus on gamification, motivation, emotional engagement, and learning psychology were selected. The findings suggest that gamification in IRE can significantly enhance student motivation, emotional engagement, and learning outcomes. Elements such as rewards, challenges, and interactive activities help create a positive learning environment, promoting better retention and understanding of Islamic teachings. Emotional engagement is particularly heightened when gamification is tailored to the cultural and religious contexts of the students, fostering a deeper connection to the material. The study emphasizes that incorporating gamification in IRE could enhance the overall educational experience for primary students, boosting their motivation and emotional involvement in learning. It also highlights the importance of designing gamified content that is culturally relevant and contextually appropriate to maximize the positive effects on student learning. The study recommends that educators, curriculum developers, and policymakers consider using gamification to improve the quality of Islamic education in primary schools.</w:t>
      </w:r>
    </w:p>
    <w:p w14:paraId="2C69EB2F" w14:textId="043B3088" w:rsidR="003D7EA0" w:rsidRDefault="00CA760A" w:rsidP="003D7EA0">
      <w:pPr>
        <w:pStyle w:val="keywordsFAITH"/>
        <w:spacing w:line="228" w:lineRule="auto"/>
        <w:rPr>
          <w:szCs w:val="18"/>
        </w:rPr>
      </w:pPr>
      <w:r w:rsidRPr="00550626">
        <w:rPr>
          <w:b/>
          <w:szCs w:val="18"/>
        </w:rPr>
        <w:t xml:space="preserve">Keywords: </w:t>
      </w:r>
      <w:r w:rsidR="003D7EA0" w:rsidRPr="00116D39">
        <w:rPr>
          <w:szCs w:val="18"/>
        </w:rPr>
        <w:t>Emo</w:t>
      </w:r>
      <w:r w:rsidR="003D7EA0">
        <w:rPr>
          <w:szCs w:val="18"/>
        </w:rPr>
        <w:t>t</w:t>
      </w:r>
      <w:r w:rsidR="003D7EA0" w:rsidRPr="00116D39">
        <w:rPr>
          <w:szCs w:val="18"/>
        </w:rPr>
        <w:t>ional</w:t>
      </w:r>
      <w:r w:rsidR="003D7EA0">
        <w:rPr>
          <w:szCs w:val="18"/>
        </w:rPr>
        <w:t xml:space="preserve">; </w:t>
      </w:r>
      <w:r w:rsidR="003D7EA0" w:rsidRPr="00116D39">
        <w:rPr>
          <w:szCs w:val="18"/>
        </w:rPr>
        <w:t>Engagement</w:t>
      </w:r>
      <w:r w:rsidR="003D7EA0">
        <w:rPr>
          <w:szCs w:val="18"/>
        </w:rPr>
        <w:t xml:space="preserve">; </w:t>
      </w:r>
      <w:r w:rsidR="003D7EA0" w:rsidRPr="00116D39">
        <w:rPr>
          <w:szCs w:val="18"/>
        </w:rPr>
        <w:t>Gamification</w:t>
      </w:r>
      <w:r w:rsidR="003D7EA0" w:rsidRPr="003D7EA0">
        <w:rPr>
          <w:bCs/>
          <w:szCs w:val="18"/>
        </w:rPr>
        <w:t>;</w:t>
      </w:r>
      <w:r w:rsidR="003D7EA0">
        <w:rPr>
          <w:b/>
          <w:szCs w:val="18"/>
        </w:rPr>
        <w:t xml:space="preserve"> </w:t>
      </w:r>
      <w:r w:rsidR="003D7EA0" w:rsidRPr="00116D39">
        <w:rPr>
          <w:szCs w:val="18"/>
        </w:rPr>
        <w:t>Islamic Religiou</w:t>
      </w:r>
      <w:r w:rsidR="003D7EA0">
        <w:rPr>
          <w:szCs w:val="18"/>
        </w:rPr>
        <w:t>s; Primary Student</w:t>
      </w:r>
    </w:p>
    <w:p w14:paraId="326D16C9" w14:textId="77777777" w:rsidR="003D7EA0" w:rsidRPr="003D7EA0" w:rsidRDefault="003D7EA0" w:rsidP="003D7EA0">
      <w:pPr>
        <w:pBdr>
          <w:bottom w:val="single" w:sz="4" w:space="1" w:color="auto"/>
        </w:pBdr>
        <w:adjustRightInd w:val="0"/>
        <w:snapToGrid w:val="0"/>
        <w:spacing w:after="480" w:line="240" w:lineRule="atLeast"/>
        <w:ind w:left="2608"/>
        <w:rPr>
          <w:lang w:eastAsia="de-DE" w:bidi="en-US"/>
        </w:rPr>
      </w:pPr>
    </w:p>
    <w:p w14:paraId="5315E594" w14:textId="3BE5C86B" w:rsidR="00CA760A" w:rsidRDefault="00CA760A" w:rsidP="003D7EA0">
      <w:pPr>
        <w:pStyle w:val="heading1FAITH"/>
        <w:numPr>
          <w:ilvl w:val="0"/>
          <w:numId w:val="4"/>
        </w:numPr>
        <w:spacing w:before="0" w:after="0"/>
        <w:rPr>
          <w:lang w:eastAsia="zh-CN"/>
        </w:rPr>
      </w:pPr>
      <w:r w:rsidRPr="007F2582">
        <w:rPr>
          <w:lang w:eastAsia="zh-CN"/>
        </w:rPr>
        <w:t>Introduction</w:t>
      </w:r>
    </w:p>
    <w:p w14:paraId="027FCADD" w14:textId="1045977D" w:rsidR="00116D39" w:rsidRPr="00116D39" w:rsidRDefault="00116D39" w:rsidP="003D7EA0">
      <w:pPr>
        <w:pStyle w:val="maintextFAITH"/>
      </w:pPr>
      <w:r w:rsidRPr="00116D39">
        <w:rPr>
          <w:rFonts w:cstheme="majorBidi"/>
        </w:rPr>
        <w:t>The educational landscape is increasingly shaped by digital technologies, prompting transformations in how students engage with learning content. Within this evolving environment, Islamic Religious Education (IRE) plays a crucial role in shaping the moral and spiritual development of students. Traditionally, IRE has been delivered through conventional methods such as lectures, rote memorization, and reading, which often fail to capture the full attention and interest of young learners. As the interest in technology-enhanced learning grows, there is an increasing shift toward exploring innovative methods to improve engagement, such as gamification. This technique, which integrates game-like elements into educational contexts, has shown promise in various educational settings by increasing motivation and engagement</w:t>
      </w:r>
      <w:r w:rsidR="00FD5E6B">
        <w:rPr>
          <w:rFonts w:cstheme="majorBidi"/>
        </w:rPr>
        <w:t xml:space="preserve"> </w:t>
      </w:r>
      <w:r w:rsidR="00FD5E6B">
        <w:rPr>
          <w:rFonts w:cstheme="majorBidi"/>
        </w:rPr>
        <w:fldChar w:fldCharType="begin"/>
      </w:r>
      <w:r w:rsidR="00125CD1">
        <w:rPr>
          <w:rFonts w:cstheme="majorBidi"/>
        </w:rPr>
        <w:instrText xml:space="preserve"> ADDIN ZOTERO_ITEM CSL_CITATION {"citationID":"le5E1Ogi","properties":{"formattedCitation":"(Mohd Zainudin &amp; Huda, 2024a; Safroni &amp; Hidayah, 2024)","plainCitation":"(Mohd Zainudin &amp; Huda, 2024a; Safroni &amp; Hidayah, 2024)","noteIndex":0},"citationItems":[{"id":12961,"uris":["http://zotero.org/users/11041210/items/TL4W6AA5"],"itemData":{"id":12961,"type":"article-journal","abstract":"This study aims to empirically examine the effectiveness of gamification strategies in religious learning as well as identify the challenges and opportunities that exist in efforts to enrich the learning experience of students under the Dini Integrated Curriculum known as Kurikulum Bersepadu Dini (KBD). Through a comprehensive and detailed literature review, this study analyzes the use of innovative gamification elements such as artificial intelligence (AI), augmented reality (AR), and advanced multimedia support in increasing students' motivation and interest in learning religion in Arabic Language. The results of the study show that the integration of this technology with traditional gamification elements such as points, badges, and leaderboards can trigger deeper student engagement and improve learning effectiveness. Students show a higher interest in learning activities and the ability to understand and remember religious concepts more deeply and effectively. However, this study also identified several challenges in the implementation of gamification, including the urgent need for comprehensive training and professional development for teachers as well as the provision of sound technological infrastructure and technical support in schools. By providing practical guidance and detailed recommendations for teachers, this study aims to assist in the application of effective gamification techniques in religious teaching, particularly in the context of KBD. This study concludes that gamification, if applied with the right strategy, has great potential to enrich the religious learning experience and achieve comprehensive and holistic educational goals under KBD, further fostering a generation of more knowledgeable and highly motivated students. With this, it is hoped that religious teaching can become more dynamic, interesting and relevant to today's young generation, as well as fulfilling the aspirations of the National Education Philosophy, the Islamic Education Philosophy  and the Malaysian Education Development Plan.","container-title":"International Journal of Modern Education","DOI":"10.35631/ijmoe.623059","ISSN":"2637-0905","issue":"23","journalAbbreviation":"IJMOE","language":"en","note":"publisher: Global Academic Excellence (M) Sdn Bhd","page":"854-864","source":"Crossref","title":"STRATEGIC GAMIFICATION FOR RELIGIOUS LEARNING: AN EMPIRICAL LITERATURE REVIEW","title-short":"STRATEGIC GAMIFICATION FOR RELIGIOUS LEARNING","volume":"6","author":[{"family":"Mohd Zainudin","given":"Nur ‘Atieqah"},{"family":"Huda","given":"Miftachul"}],"issued":{"date-parts":[["2024",12,31]]}}},{"id":12962,"uris":["http://zotero.org/users/11041210/items/LA9452Y3"],"itemData":{"id":12962,"type":"article-journal","abstract":"Learning activities cannot be separated from the role of the teacher. The teacher's task is to manage learning in the classroom and use various methods to achieve the learning objectives that have been set. This cannot be separated from the learning model/method used. The aim of this research is to describe the supporting, inhibiting and supporting factors for assessing gamification learning models in Islamic religious education regarding the emotional aspects of students at Madrasah Ibtidaiyah Al-kholili, Probolinggo City. This research uses field research with a qualitative approach. The method used is descriptive research. The subjects of this research were curriculum directors, PAI teachers, and student representatives. Data collection techniques use observation, interviews and documentation. Based on the research results, it can be concluded that the evaluation of the gamification learning model of Islamic religious education on the emotional aspects of students at Al-kholili Islamic Middle School, Probolinggo City can increase student interest and motivation. it has been proven that you can. Children respond to learning, how to complete the tasks given, how to pay attention to the material presented, and the availability of several supporting factors, namely Wi-Fi, depending on possibilities, student interest, teacher motivation and available focus. Children need time to adjust due to inhibiting factors in the form of media and time constraints.","container-title":"AL-MUADDIB: Jurnal Kajian Ilmu Kependidikan","DOI":"10.46773/muaddib.v6i1.1131","ISSN":"2685-9149, 2723-0805","issue":"1","journalAbbreviation":"AL-MUADDIB: J. Kaj. Il. Kepend.","language":"id","license":"https://creativecommons.org/licenses/by-nc-sa/4.0","note":"publisher: STAI Muhammadiyah Probolinggo","page":"424-436","source":"Crossref","title":"Strategi Pembelajaran Pendidikan Agama Islam Berbasis Gamifikasi Untuk Meningkatkan Motivasi Belajar Siswa","volume":"6","author":[{"family":"Safroni","given":"Sherli"},{"family":"Hidayah","given":"Ulil"}],"issued":{"date-parts":[["2024",5,5]]}}}],"schema":"https://github.com/citation-style-language/schema/raw/master/csl-citation.json"} </w:instrText>
      </w:r>
      <w:r w:rsidR="00FD5E6B">
        <w:rPr>
          <w:rFonts w:cstheme="majorBidi"/>
        </w:rPr>
        <w:fldChar w:fldCharType="separate"/>
      </w:r>
      <w:r w:rsidR="00125CD1" w:rsidRPr="00125CD1">
        <w:t>(Zainudin &amp; Huda, 2024a; Safroni &amp; Hidayah, 2024)</w:t>
      </w:r>
      <w:r w:rsidR="00FD5E6B">
        <w:rPr>
          <w:rFonts w:cstheme="majorBidi"/>
        </w:rPr>
        <w:fldChar w:fldCharType="end"/>
      </w:r>
      <w:r w:rsidRPr="00116D39">
        <w:rPr>
          <w:rFonts w:cstheme="majorBidi"/>
        </w:rPr>
        <w:t>.</w:t>
      </w:r>
    </w:p>
    <w:p w14:paraId="7B962752" w14:textId="3221DC72" w:rsidR="00116D39" w:rsidRPr="00125CD1" w:rsidRDefault="00116D39" w:rsidP="003D7EA0">
      <w:pPr>
        <w:pStyle w:val="maintextFAITH"/>
      </w:pPr>
      <w:r w:rsidRPr="00125CD1">
        <w:t>In the realm of IRE, where the objective is to instill not only knowledge but also moral and religious values, gamification offers a unique opportunity to create a more engaging and interactive learning experience. Gamification includes elements like points, badges, leaderboards, and challenges, which are designed to motivate students through both intrinsic and extrinsic rewards. Research has shown that these elements can enhance motivation and increase student participation in learning activities</w:t>
      </w:r>
      <w:r w:rsidR="00FD5E6B" w:rsidRPr="00125CD1">
        <w:t xml:space="preserve"> </w:t>
      </w:r>
      <w:r w:rsidR="00FD5E6B" w:rsidRPr="00125CD1">
        <w:fldChar w:fldCharType="begin"/>
      </w:r>
      <w:r w:rsidR="00125CD1" w:rsidRPr="00125CD1">
        <w:instrText xml:space="preserve"> ADDIN ZOTERO_ITEM CSL_CITATION {"citationID":"BwrnLSzs","properties":{"formattedCitation":"(Zourmpakis dkk., 2023)","plainCitation":"(Zourmpakis dkk., 2023)","noteIndex":0},"citationItems":[{"id":12968,"uris":["http://zotero.org/users/11041210/items/K7BXTNP2"],"itemData":{"id":12968,"type":"article-journal","abstract":"In recent years, gamiﬁcation has captured the attention of researchers and educators, particularly in science education, where students often express negative emotions. Gamiﬁcation methods aim to motivate learners to participate in learning by incorporating intrinsic and extrinsic motivational factors. However, the effectiveness of gamiﬁcation has yielded varying outcomes, prompting researchers to explore adaptive gamiﬁcation as an alternative approach. Nevertheless, there needs to be more research on adaptive gamiﬁcation approaches, particularly concerning motivation, which is the primary objective of gamiﬁcation. In this study, we developed and tested an adaptive gamiﬁcation environment based on speciﬁc motivational and psychological frameworks. This environment incorporated adaptive criteria, learning strategies, gaming elements, and all crucial aspects of science education for six classes of third-grade students in primary school. We employed a quantitative approach to gain insights into the motivational impact on students and their perception of the adaptive gamiﬁcation application. We aimed to understand how each game element experienced by students inﬂuenced their motivation. Based on our ﬁndings, students were more motivated to learn science when using an adaptive gamiﬁcation environment. Additionally, the adaptation process was largely successful, as students generally liked the game elements integrated into their lessons, indicating the effectiveness of the multidimensional framework employed in enhancing students’ experiences and engagement.","container-title":"Computers","DOI":"10.3390/computers12070143","ISSN":"2073-431X","issue":"7","language":"en","license":"https://creativecommons.org/licenses/by/4.0/","note":"publisher: MDPI AG","page":"143","source":"Crossref","title":"Adaptive Gamification in Science Education: An Analysis of the Impact of Implementation and Adapted Game Elements on Students’ Motivation","title-short":"Adaptive Gamification in Science Education","volume":"12","author":[{"family":"Zourmpakis","given":"Alkinoos-Ioannis"},{"family":"Kalogiannakis","given":"Michail"},{"family":"Papadakis","given":"Stamatios"}],"issued":{"date-parts":[["2023",7,18]]}}}],"schema":"https://github.com/citation-style-language/schema/raw/master/csl-citation.json"} </w:instrText>
      </w:r>
      <w:r w:rsidR="00FD5E6B" w:rsidRPr="00125CD1">
        <w:fldChar w:fldCharType="separate"/>
      </w:r>
      <w:r w:rsidR="00125CD1" w:rsidRPr="00125CD1">
        <w:t xml:space="preserve">(Zourmpakis </w:t>
      </w:r>
      <w:r w:rsidR="003D7EA0">
        <w:t>et al</w:t>
      </w:r>
      <w:r w:rsidR="00125CD1" w:rsidRPr="00125CD1">
        <w:t>., 2023)</w:t>
      </w:r>
      <w:r w:rsidR="00FD5E6B" w:rsidRPr="00125CD1">
        <w:fldChar w:fldCharType="end"/>
      </w:r>
      <w:r w:rsidRPr="00125CD1">
        <w:t>. However, there is a limited body of research focusing specifically on the application of gamification in IRE for primary students, highlighting a gap in the literature that needs to be addressed to understand its potential fully.</w:t>
      </w:r>
    </w:p>
    <w:p w14:paraId="4A6F66FB" w14:textId="1486116F" w:rsidR="00116D39" w:rsidRPr="00125CD1" w:rsidRDefault="00116D39" w:rsidP="003D7EA0">
      <w:pPr>
        <w:pStyle w:val="maintextFAITH"/>
      </w:pPr>
      <w:r w:rsidRPr="00125CD1">
        <w:lastRenderedPageBreak/>
        <w:t>Studies in other educational contexts have demonstrated that gamification can lead to higher engagement, greater enjoyment in learning, and better retention of content</w:t>
      </w:r>
      <w:r w:rsidR="00FD5E6B" w:rsidRPr="00125CD1">
        <w:t xml:space="preserve"> </w:t>
      </w:r>
      <w:r w:rsidR="00FD5E6B" w:rsidRPr="00125CD1">
        <w:fldChar w:fldCharType="begin"/>
      </w:r>
      <w:r w:rsidR="00125CD1" w:rsidRPr="00125CD1">
        <w:instrText xml:space="preserve"> ADDIN ZOTERO_ITEM CSL_CITATION {"citationID":"kYZg1xAt","properties":{"formattedCitation":"(Zourmpakis dkk., 2023)","plainCitation":"(Zourmpakis dkk., 2023)","noteIndex":0},"citationItems":[{"id":12968,"uris":["http://zotero.org/users/11041210/items/K7BXTNP2"],"itemData":{"id":12968,"type":"article-journal","abstract":"In recent years, gamiﬁcation has captured the attention of researchers and educators, particularly in science education, where students often express negative emotions. Gamiﬁcation methods aim to motivate learners to participate in learning by incorporating intrinsic and extrinsic motivational factors. However, the effectiveness of gamiﬁcation has yielded varying outcomes, prompting researchers to explore adaptive gamiﬁcation as an alternative approach. Nevertheless, there needs to be more research on adaptive gamiﬁcation approaches, particularly concerning motivation, which is the primary objective of gamiﬁcation. In this study, we developed and tested an adaptive gamiﬁcation environment based on speciﬁc motivational and psychological frameworks. This environment incorporated adaptive criteria, learning strategies, gaming elements, and all crucial aspects of science education for six classes of third-grade students in primary school. We employed a quantitative approach to gain insights into the motivational impact on students and their perception of the adaptive gamiﬁcation application. We aimed to understand how each game element experienced by students inﬂuenced their motivation. Based on our ﬁndings, students were more motivated to learn science when using an adaptive gamiﬁcation environment. Additionally, the adaptation process was largely successful, as students generally liked the game elements integrated into their lessons, indicating the effectiveness of the multidimensional framework employed in enhancing students’ experiences and engagement.","container-title":"Computers","DOI":"10.3390/computers12070143","ISSN":"2073-431X","issue":"7","language":"en","license":"https://creativecommons.org/licenses/by/4.0/","note":"publisher: MDPI AG","page":"143","source":"Crossref","title":"Adaptive Gamification in Science Education: An Analysis of the Impact of Implementation and Adapted Game Elements on Students’ Motivation","title-short":"Adaptive Gamification in Science Education","volume":"12","author":[{"family":"Zourmpakis","given":"Alkinoos-Ioannis"},{"family":"Kalogiannakis","given":"Michail"},{"family":"Papadakis","given":"Stamatios"}],"issued":{"date-parts":[["2023",7,18]]}}}],"schema":"https://github.com/citation-style-language/schema/raw/master/csl-citation.json"} </w:instrText>
      </w:r>
      <w:r w:rsidR="00FD5E6B" w:rsidRPr="00125CD1">
        <w:fldChar w:fldCharType="separate"/>
      </w:r>
      <w:r w:rsidR="00125CD1" w:rsidRPr="00125CD1">
        <w:t xml:space="preserve">(Zourmpakis </w:t>
      </w:r>
      <w:r w:rsidR="003D7EA0">
        <w:t>et al</w:t>
      </w:r>
      <w:r w:rsidR="00125CD1" w:rsidRPr="00125CD1">
        <w:t>., 2023)</w:t>
      </w:r>
      <w:r w:rsidR="00FD5E6B" w:rsidRPr="00125CD1">
        <w:fldChar w:fldCharType="end"/>
      </w:r>
      <w:r w:rsidRPr="00125CD1">
        <w:t>. In science education, for example, gamified approaches have resulted in significant improvements in students’ motivation and academic performance. Similar trends could potentially apply to IRE, where complex religious concepts and values may be made more accessible through interactive and fun learning experiences.</w:t>
      </w:r>
    </w:p>
    <w:p w14:paraId="2ECE9535" w14:textId="17C2F2D1" w:rsidR="00116D39" w:rsidRPr="00125CD1" w:rsidRDefault="00116D39" w:rsidP="003D7EA0">
      <w:pPr>
        <w:pStyle w:val="maintextFAITH"/>
      </w:pPr>
      <w:r w:rsidRPr="00125CD1">
        <w:t>Despite the promising potential of gamification in education, challenges remain, particularly in the application of these techniques within IRE. Primary students often face issues like a lack of motivation, limited emotional engagement with the material, and difficulty in grasping abstract religious concepts</w:t>
      </w:r>
      <w:r w:rsidR="00FD5E6B" w:rsidRPr="00125CD1">
        <w:t xml:space="preserve"> </w:t>
      </w:r>
      <w:r w:rsidR="00FD5E6B" w:rsidRPr="00125CD1">
        <w:fldChar w:fldCharType="begin"/>
      </w:r>
      <w:r w:rsidR="00125CD1" w:rsidRPr="00125CD1">
        <w:instrText xml:space="preserve"> ADDIN ZOTERO_ITEM CSL_CITATION {"citationID":"jFA58QDf","properties":{"formattedCitation":"(Arafah dkk., 2024)","plainCitation":"(Arafah dkk., 2024)","noteIndex":0},"citationItems":[{"id":12964,"uris":["http://zotero.org/users/11041210/items/AB6FU7G4"],"itemData":{"id":12964,"type":"article-journal","abstract":"Islamic religious education is an important part of the curriculum in many countries with a majority Muslim population. However, challenges in teaching Islam are often related to limited resources and lack of student involvement. The use of technology in learning can be a solution to improve the quality of Islamic learning and motivate students independently. This research also aims to determine the extent to which the application of gamification techniques can empower learners in the context of Islamic religious education. This research uses an experimental approach. Data about students' academic performance and level of selfmotivation were collected through academic tests and questionnaires before and after treatment. The research results show that the use of technology-enhanced learning tools in Islamic learning significantly improves students' academic performance. Apart from that, it was found that the application of gamification techniques in learning also had a positive impact on students' self-motivation. Students who are involved in learning that uses technology and gamification techniques show a higher level of motivation in studying Islamic religious material compared to students who follow conventional learning methods. The conclusion of this research explains that the use of technology-enhanced learning tools and gamification techniques can be an effective strategy in improving students' academic performance and self-motivation in learning Islamic religion. The implementation of technology in Islamic learning not only enriches the learning experience, but also empowers students to become more active and enthusiastic autonomous learners.","container-title":"Journal Neosantara Hybrid Learning","DOI":"10.55849/jnhl.v2i1.850","ISSN":"2986-979X, 2987-2316","issue":"1","journalAbbreviation":"J. Neosantara Hybrid Learning","language":"en","license":"https://creativecommons.org/licenses/by-sa/4.0","note":"publisher: Yayasan Pendidikan Islam Daarut Thufulah","page":"318-331","source":"Crossref","title":"Empowering Autonomous Islamic Religious Education Learners With Technology-Enhanced Tools To Improve Performance And Self-Motivation","volume":"2","author":[{"family":"Arafah","given":"Abdul Latief Arung"},{"family":"Jiao","given":"Deng"},{"family":"Selvia","given":"Devi Sela Eka"},{"family":"Wang","given":"Yuanyuan"},{"family":"Halim","given":"Chandra"}],"issued":{"date-parts":[["2024",5,13]]}}}],"schema":"https://github.com/citation-style-language/schema/raw/master/csl-citation.json"} </w:instrText>
      </w:r>
      <w:r w:rsidR="00FD5E6B" w:rsidRPr="00125CD1">
        <w:fldChar w:fldCharType="separate"/>
      </w:r>
      <w:r w:rsidR="00125CD1" w:rsidRPr="00125CD1">
        <w:t xml:space="preserve">(Arafah </w:t>
      </w:r>
      <w:r w:rsidR="003D7EA0">
        <w:t>et al</w:t>
      </w:r>
      <w:r w:rsidR="00125CD1" w:rsidRPr="00125CD1">
        <w:t>., 2024)</w:t>
      </w:r>
      <w:r w:rsidR="00FD5E6B" w:rsidRPr="00125CD1">
        <w:fldChar w:fldCharType="end"/>
      </w:r>
      <w:r w:rsidRPr="00125CD1">
        <w:t>. Traditional methods do not always address these challenges effectively, which can lead to passive learning and disengagement. Here, gamification could serve as a solution by encouraging active participation and emotional investment in the learning process.</w:t>
      </w:r>
    </w:p>
    <w:p w14:paraId="463EECEB" w14:textId="162FAEEC" w:rsidR="00116D39" w:rsidRPr="00125CD1" w:rsidRDefault="00116D39" w:rsidP="003D7EA0">
      <w:pPr>
        <w:pStyle w:val="maintextFAITH"/>
      </w:pPr>
      <w:r w:rsidRPr="00125CD1">
        <w:t>However, implementing gamification in IRE requires careful consideration of both pedagogical and technological factors. The integration of digital tools and gamified content must be done strategically to align with educational objectives while also maintaining the core values of Islamic teachings</w:t>
      </w:r>
      <w:r w:rsidR="00FD5E6B" w:rsidRPr="00125CD1">
        <w:t xml:space="preserve"> </w:t>
      </w:r>
      <w:r w:rsidRPr="00125CD1">
        <w:fldChar w:fldCharType="begin"/>
      </w:r>
      <w:r w:rsidR="00125CD1" w:rsidRPr="00125CD1">
        <w:instrText xml:space="preserve"> ADDIN ZOTERO_ITEM CSL_CITATION {"citationID":"ijLxDOAN","properties":{"formattedCitation":"(Arafah dkk., 2024; Arlina dkk., 2023)","plainCitation":"(Arafah dkk., 2024; Arlina dkk., 2023)","noteIndex":0},"citationItems":[{"id":12964,"uris":["http://zotero.org/users/11041210/items/AB6FU7G4"],"itemData":{"id":12964,"type":"article-journal","abstract":"Islamic religious education is an important part of the curriculum in many countries with a majority Muslim population. However, challenges in teaching Islam are often related to limited resources and lack of student involvement. The use of technology in learning can be a solution to improve the quality of Islamic learning and motivate students independently. This research also aims to determine the extent to which the application of gamification techniques can empower learners in the context of Islamic religious education. This research uses an experimental approach. Data about students' academic performance and level of selfmotivation were collected through academic tests and questionnaires before and after treatment. The research results show that the use of technology-enhanced learning tools in Islamic learning significantly improves students' academic performance. Apart from that, it was found that the application of gamification techniques in learning also had a positive impact on students' self-motivation. Students who are involved in learning that uses technology and gamification techniques show a higher level of motivation in studying Islamic religious material compared to students who follow conventional learning methods. The conclusion of this research explains that the use of technology-enhanced learning tools and gamification techniques can be an effective strategy in improving students' academic performance and self-motivation in learning Islamic religion. The implementation of technology in Islamic learning not only enriches the learning experience, but also empowers students to become more active and enthusiastic autonomous learners.","container-title":"Journal Neosantara Hybrid Learning","DOI":"10.55849/jnhl.v2i1.850","ISSN":"2986-979X, 2987-2316","issue":"1","journalAbbreviation":"J. Neosantara Hybrid Learning","language":"en","license":"https://creativecommons.org/licenses/by-sa/4.0","note":"publisher: Yayasan Pendidikan Islam Daarut Thufulah","page":"318-331","source":"Crossref","title":"Empowering Autonomous Islamic Religious Education Learners With Technology-Enhanced Tools To Improve Performance And Self-Motivation","volume":"2","author":[{"family":"Arafah","given":"Abdul Latief Arung"},{"family":"Jiao","given":"Deng"},{"family":"Selvia","given":"Devi Sela Eka"},{"family":"Wang","given":"Yuanyuan"},{"family":"Halim","given":"Chandra"}],"issued":{"date-parts":[["2024",5,13]]}}},{"id":6020,"uris":["http://zotero.org/users/11041210/items/8Y8GKUYG"],"itemData":{"id":6020,"type":"article-journal","abstract":"… Ibdah mahdah seperti shalat, puasa, zakat, haji. Sedangkan ibadah ghaira mahda seperti sedekah, membaca Al-Qur'an dan lain sebagainya (Mahfud, 2011). Hasil penelitian diperoleh …","container-title":"At-Tadris: Journal of …","issue":"Query date: 2023-09-14 02:58:24","note":"publisher: journal.ikadi.or.id","title":"Peran Orangtua Dalam Menanamkan Nilai-Nilai Islam pada Anak di Era Digital","URL":"https://journal.ikadi.or.id/index.php/attadris/article/view/77","author":[{"family":"Arlina","given":"A"},{"family":"Siregar","given":"ERS"},{"family":"Hasibuan","given":"F"},{"literal":"..."}],"issued":{"date-parts":[["2023"]]}}}],"schema":"https://github.com/citation-style-language/schema/raw/master/csl-citation.json"} </w:instrText>
      </w:r>
      <w:r w:rsidRPr="00125CD1">
        <w:fldChar w:fldCharType="separate"/>
      </w:r>
      <w:r w:rsidR="00125CD1" w:rsidRPr="00125CD1">
        <w:t xml:space="preserve">(Arafah </w:t>
      </w:r>
      <w:r w:rsidR="003D7EA0">
        <w:t>et al</w:t>
      </w:r>
      <w:r w:rsidR="00125CD1" w:rsidRPr="00125CD1">
        <w:t xml:space="preserve">., 2024; Arlina </w:t>
      </w:r>
      <w:r w:rsidR="003D7EA0">
        <w:t>et al</w:t>
      </w:r>
      <w:r w:rsidR="00125CD1" w:rsidRPr="00125CD1">
        <w:t>., 2023)</w:t>
      </w:r>
      <w:r w:rsidRPr="00125CD1">
        <w:fldChar w:fldCharType="end"/>
      </w:r>
      <w:r w:rsidRPr="00125CD1">
        <w:t xml:space="preserve">. Furthermore, teachers need appropriate training and support to effectively incorporate these new methods into the classroom. This includes equipping them with the skills to design and deliver gamified content that resonates with students’ emotional and cognitive needs </w:t>
      </w:r>
      <w:r w:rsidR="00FD5E6B" w:rsidRPr="00125CD1">
        <w:fldChar w:fldCharType="begin"/>
      </w:r>
      <w:r w:rsidR="00125CD1" w:rsidRPr="00125CD1">
        <w:instrText xml:space="preserve"> ADDIN ZOTERO_ITEM CSL_CITATION {"citationID":"Fw2RIjWK","properties":{"formattedCitation":"(Fawaid dkk., 2024)","plainCitation":"(Fawaid dkk., 2024)","noteIndex":0},"citationItems":[{"id":12959,"uris":["http://zotero.org/users/11041210/items/R8DK7BVK"],"itemData":{"id":12959,"type":"article-journal","abstract":"The cultural-friendly learning environment is considered as an important factor influencing on the students’ self-engagement and become a central challenge that teachers in Islamic educational settings commonly deal with. This study aims to analyze the implementation of an gamified activity for creating a multicultural-situated learning and improving multiethnic students’ self-engagement in Islamic education. A total of 80 sixth graders with various backgrounds from two classes participated in this research. The one class was purposively assigned to the experimental group (N = 40) using the Peacegen gamified platform in learning tolerance, and the other class was the control group (N = 40) using traditional instruction. This study found that, compared to the traditional instruction, the culturally-responsive gamification more effectively helped multiethnic students’ selfengagement in learning tolerance in Bahasa Indonesia subject. Particularly, they had positive feedbacks on the learning process after the culturally-responsive gamification. This result suggests that a culturally-responsive gamification can provide a simulated learning environment that assists teachers to improve the multiethnic students’ self-engagement in Islamic education and subsequently facilitate their deep-learning of tolerance.","container-title":"Al-Fikru: Jurnal Pendidikan Dan Sains","DOI":"10.55210/al-fikru.v5i2.1868","ISSN":"2774-5627, 2747-1349","issue":"2","journalAbbreviation":"al-fikru","language":"en","license":"https://creativecommons.org/licenses/by/4.0","note":"publisher: Institut Ilmu Keislaman Zainul Hasan Genggong","page":"267-275","source":"Crossref","title":"The role of culturally-responsive gamification to improve multiethnic students’ self-engagement in Islamic education","volume":"5","author":[{"family":"Fawaid","given":"Achmad"},{"family":"Kholil","given":"Muhammad"},{"family":"Dewi","given":"Ninda Ayu Rosida"}],"issued":{"date-parts":[["2024",12,31]]}}}],"schema":"https://github.com/citation-style-language/schema/raw/master/csl-citation.json"} </w:instrText>
      </w:r>
      <w:r w:rsidR="00FD5E6B" w:rsidRPr="00125CD1">
        <w:fldChar w:fldCharType="separate"/>
      </w:r>
      <w:r w:rsidR="00125CD1" w:rsidRPr="00125CD1">
        <w:t xml:space="preserve">(Fawaid </w:t>
      </w:r>
      <w:r w:rsidR="003D7EA0">
        <w:t>et al</w:t>
      </w:r>
      <w:r w:rsidR="00125CD1" w:rsidRPr="00125CD1">
        <w:t>., 2024)</w:t>
      </w:r>
      <w:r w:rsidR="00FD5E6B" w:rsidRPr="00125CD1">
        <w:fldChar w:fldCharType="end"/>
      </w:r>
      <w:r w:rsidRPr="00125CD1">
        <w:t>.</w:t>
      </w:r>
    </w:p>
    <w:p w14:paraId="7713C4F7" w14:textId="61E39B0B" w:rsidR="00116D39" w:rsidRPr="00125CD1" w:rsidRDefault="00116D39" w:rsidP="003D7EA0">
      <w:pPr>
        <w:pStyle w:val="maintextFAITH"/>
      </w:pPr>
      <w:r w:rsidRPr="00125CD1">
        <w:t>Various gamification strategies and tools have been employed successfully in different educational fields. For example, platforms like Baamboozle and Kahoot! have been used to enhance student interaction and participation, with studies showing that such tools can increase students' motivation and improve learning outcomes</w:t>
      </w:r>
      <w:r w:rsidR="005E6D73" w:rsidRPr="00125CD1">
        <w:t xml:space="preserve"> </w:t>
      </w:r>
      <w:r w:rsidR="005E6D73" w:rsidRPr="00125CD1">
        <w:fldChar w:fldCharType="begin"/>
      </w:r>
      <w:r w:rsidR="00125CD1" w:rsidRPr="00125CD1">
        <w:instrText xml:space="preserve"> ADDIN ZOTERO_ITEM CSL_CITATION {"citationID":"6gnTSoWW","properties":{"formattedCitation":"(N. Azizah, 2022)","plainCitation":"(N. Azizah, 2022)","noteIndex":0},"citationItems":[{"id":7733,"uris":["http://zotero.org/users/11041210/items/F38HW2JC"],"itemData":{"id":7733,"type":"article-journal","abstract":"Pelajaran Bahasa Inggris diajarkan kepada semua siswa SMP/MTSN sebagaimana tercantum dalam Kurikulum 2013. Pemberian materi ini antara lain untuk menumbuhkan semangat belajar bahasa inggris sejak dini. Belajar bahasa inggris berarti belajar empat pila keterampilan dasar, mendengarkan, berbicara, menulis dan membaca. Oleh karenanya upaya yang dilakukan dalam pembelajaran bahasa inggris adalah menerapkan Metode Role Playing. Tujuan dari penelitian ini adalah untuk mengetahui peningkatan kemampuan berbicara melalui teknik bermain peran (Role Playing) pada mata pelajran bahasa inggris. Metode role play, yaitu suatu cara penugasan bahan-bahan pelajaran melalui pengembangan imajinasi dan penghayatan siswa. Berbicara merupakan sebuah ujaran sebagai suatu sarana berkomunikasi untuk mengungkapkan pikiran, pendapat, gagasan, perasaan, dan keinginan dengan bantuan lambang-lambang yang disebut kata-kata. Penelitian ini merupakan penelitian tindakan kelas. Penelitian ini dilaksanakan dalam dua siklus. Instrument yang digunakan adalah tes, lembar observasi aktivitas guru dan siswa, serta lembar angket dan wawancara. Berdasarkan hasil penelitian menunjukkan adanya peningkatan hasil belajar siswa. Subjek penelitian ini 30 siswa, pada siklus I, siswa yang tuntas belajar adalah 14 siswa dengan persentase ketuntasan klasikal 46,7% dan pada siklus II, siswa yang tuntas belajar adalah 26 orang dengan persentase ketuntasan klasikal 86,67%. Dapat disimpulkan bahwa dengan menerapkan metode role playing dapat meningkatkan keterampilan berbicara dan motivasi belajar siswa dalam menguasai Congatulations Expressions.","container-title":"Educatif Journal of Education Research","DOI":"10.36654/educatif.v4i1.275","ISSN":"2686-2077, 2686-3669","issue":"1","journalAbbreviation":"ed","language":"id","page":"121-131","source":"DOI.org (Crossref)","title":"Penerapan Metode Role Playing Untuk Meningkatkan Keterampilan Berbicara dan Motivasi Belajar Siswa dalam Menguasai Congratulations Expressions","volume":"4","author":[{"family":"Azizah","given":"Nur"}],"issued":{"date-parts":[["2022",1,10]]}}}],"schema":"https://github.com/citation-style-language/schema/raw/master/csl-citation.json"} </w:instrText>
      </w:r>
      <w:r w:rsidR="005E6D73" w:rsidRPr="00125CD1">
        <w:fldChar w:fldCharType="separate"/>
      </w:r>
      <w:r w:rsidR="00125CD1" w:rsidRPr="00125CD1">
        <w:t>(N. Azizah, 2022)</w:t>
      </w:r>
      <w:r w:rsidR="005E6D73" w:rsidRPr="00125CD1">
        <w:fldChar w:fldCharType="end"/>
      </w:r>
      <w:r w:rsidRPr="00125CD1">
        <w:t>. In IRE, similar tools could be adapted to present religious knowledge through interactive quizzes, challenges, and leaderboards, thereby fostering a competitive yet cooperative environment that encourages deeper engagement with the material.</w:t>
      </w:r>
    </w:p>
    <w:p w14:paraId="4C783084" w14:textId="18CA771F" w:rsidR="00116D39" w:rsidRPr="00125CD1" w:rsidRDefault="00116D39" w:rsidP="003D7EA0">
      <w:pPr>
        <w:pStyle w:val="maintextFAITH"/>
      </w:pPr>
      <w:r w:rsidRPr="00125CD1">
        <w:t xml:space="preserve">Additionally, the use of augmented reality (AR) and artificial intelligence (AI) has been explored in some gamified learning contexts. These technologies have shown potential in improving students' understanding of complex concepts by providing immersive and interactive learning experiences </w:t>
      </w:r>
      <w:r w:rsidRPr="00125CD1">
        <w:fldChar w:fldCharType="begin"/>
      </w:r>
      <w:r w:rsidR="00125CD1" w:rsidRPr="00125CD1">
        <w:instrText xml:space="preserve"> ADDIN ZOTERO_ITEM CSL_CITATION {"citationID":"WjbdslA7","properties":{"formattedCitation":"(Mohd Zainudin &amp; Huda, 2024a)","plainCitation":"(Mohd Zainudin &amp; Huda, 2024a)","noteIndex":0},"citationItems":[{"id":12961,"uris":["http://zotero.org/users/11041210/items/TL4W6AA5"],"itemData":{"id":12961,"type":"article-journal","abstract":"This study aims to empirically examine the effectiveness of gamification strategies in religious learning as well as identify the challenges and opportunities that exist in efforts to enrich the learning experience of students under the Dini Integrated Curriculum known as Kurikulum Bersepadu Dini (KBD). Through a comprehensive and detailed literature review, this study analyzes the use of innovative gamification elements such as artificial intelligence (AI), augmented reality (AR), and advanced multimedia support in increasing students' motivation and interest in learning religion in Arabic Language. The results of the study show that the integration of this technology with traditional gamification elements such as points, badges, and leaderboards can trigger deeper student engagement and improve learning effectiveness. Students show a higher interest in learning activities and the ability to understand and remember religious concepts more deeply and effectively. However, this study also identified several challenges in the implementation of gamification, including the urgent need for comprehensive training and professional development for teachers as well as the provision of sound technological infrastructure and technical support in schools. By providing practical guidance and detailed recommendations for teachers, this study aims to assist in the application of effective gamification techniques in religious teaching, particularly in the context of KBD. This study concludes that gamification, if applied with the right strategy, has great potential to enrich the religious learning experience and achieve comprehensive and holistic educational goals under KBD, further fostering a generation of more knowledgeable and highly motivated students. With this, it is hoped that religious teaching can become more dynamic, interesting and relevant to today's young generation, as well as fulfilling the aspirations of the National Education Philosophy, the Islamic Education Philosophy  and the Malaysian Education Development Plan.","container-title":"International Journal of Modern Education","DOI":"10.35631/ijmoe.623059","ISSN":"2637-0905","issue":"23","journalAbbreviation":"IJMOE","language":"en","note":"publisher: Global Academic Excellence (M) Sdn Bhd","page":"854-864","source":"Crossref","title":"STRATEGIC GAMIFICATION FOR RELIGIOUS LEARNING: AN EMPIRICAL LITERATURE REVIEW","title-short":"STRATEGIC GAMIFICATION FOR RELIGIOUS LEARNING","volume":"6","author":[{"family":"Mohd Zainudin","given":"Nur ‘Atieqah"},{"family":"Huda","given":"Miftachul"}],"issued":{"date-parts":[["2024",12,31]]}}}],"schema":"https://github.com/citation-style-language/schema/raw/master/csl-citation.json"} </w:instrText>
      </w:r>
      <w:r w:rsidRPr="00125CD1">
        <w:fldChar w:fldCharType="separate"/>
      </w:r>
      <w:r w:rsidR="00125CD1" w:rsidRPr="00125CD1">
        <w:t>(Mohd Zainudin &amp; Huda, 2024a)</w:t>
      </w:r>
      <w:r w:rsidRPr="00125CD1">
        <w:fldChar w:fldCharType="end"/>
      </w:r>
      <w:r w:rsidRPr="00125CD1">
        <w:t>. The integration of these tools into IRE could offer a more dynamic approach to teaching religious content, helping students visualize and internalize concepts related to Islamic faith and practices.</w:t>
      </w:r>
    </w:p>
    <w:p w14:paraId="39EA0A4D" w14:textId="6EE72853" w:rsidR="00116D39" w:rsidRPr="00125CD1" w:rsidRDefault="00116D39" w:rsidP="003D7EA0">
      <w:pPr>
        <w:pStyle w:val="maintextFAITH"/>
      </w:pPr>
      <w:r w:rsidRPr="00125CD1">
        <w:t>Gamification in IRE has the potential to increase student motivation, particularly by tapping into intrinsic motivators such as the desire for mastery and personal growth. According to Self-Determination Theory</w:t>
      </w:r>
      <w:r w:rsidR="005E6D73" w:rsidRPr="00125CD1">
        <w:t xml:space="preserve"> </w:t>
      </w:r>
      <w:r w:rsidR="005E6D73" w:rsidRPr="00125CD1">
        <w:fldChar w:fldCharType="begin"/>
      </w:r>
      <w:r w:rsidR="00125CD1" w:rsidRPr="00125CD1">
        <w:instrText xml:space="preserve"> ADDIN ZOTERO_ITEM CSL_CITATION {"citationID":"DyVImMn2","properties":{"formattedCitation":"(Akcaoglu dkk., 2018)","plainCitation":"(Akcaoglu dkk., 2018)","noteIndex":0},"citationItems":[{"id":13307,"uris":["http://zotero.org/users/11041210/items/ZJI6RSAN"],"itemData":{"id":13307,"type":"article-journal","abstract":"The purpose of this field experiment was to understand whether fifth and sixth-grade students were able to write about the usefulness and relevance of what they were learning in their science class through self-generated reflections and to examine the impacts of this activity on students’ value, utility value, and interest for science. Analysis of students’ essays revealed in the self-generated reflection condition students connected what they were learning to their lives significantly more than the control condition. Linguistically, student essays did not differ between the two conditions, except for cognitive processing. Self-reflecting increased students’ utility value but not value nor interest. Self-efficacy did not moderate these relations. Implications for extending self-generated utility value and broader social-psychological interventions for early adolescent students are discussed.","container-title":"International Journal of Educational Research","DOI":"10.1016/j.ijer.2017.12.001","ISSN":"0883-0355","journalAbbreviation":"International Journal of Educational Research","page":"67-77","title":"Outcomes from a self-generated utility value intervention on fifth and sixth-grade students’ value and interest in science","volume":"87","author":[{"family":"Akcaoglu","given":"Mete"},{"family":"Rosenberg","given":"Joshua M."},{"family":"Ranellucci","given":"John"},{"family":"Schwarz","given":"Christina V."}],"issued":{"date-parts":[["2018",1,1]]}}}],"schema":"https://github.com/citation-style-language/schema/raw/master/csl-citation.json"} </w:instrText>
      </w:r>
      <w:r w:rsidR="005E6D73" w:rsidRPr="00125CD1">
        <w:fldChar w:fldCharType="separate"/>
      </w:r>
      <w:r w:rsidR="00125CD1" w:rsidRPr="00125CD1">
        <w:t xml:space="preserve">(Akcaoglu </w:t>
      </w:r>
      <w:r w:rsidR="003D7EA0">
        <w:t>et al</w:t>
      </w:r>
      <w:r w:rsidR="00125CD1" w:rsidRPr="00125CD1">
        <w:t>., 2018)</w:t>
      </w:r>
      <w:r w:rsidR="005E6D73" w:rsidRPr="00125CD1">
        <w:fldChar w:fldCharType="end"/>
      </w:r>
      <w:r w:rsidRPr="00125CD1">
        <w:t>, intrinsic motivation is enhanced when students feel competent, autonomous, and connected to their learning. Gamified environments, which provide immediate feedback and allow for personalized learning paths, can fulfill these psychological needs, leading to increased engagement and motivation</w:t>
      </w:r>
      <w:r w:rsidR="005E6D73" w:rsidRPr="00125CD1">
        <w:t xml:space="preserve"> </w:t>
      </w:r>
      <w:r w:rsidR="005E6D73" w:rsidRPr="00125CD1">
        <w:fldChar w:fldCharType="begin"/>
      </w:r>
      <w:r w:rsidR="00125CD1" w:rsidRPr="00125CD1">
        <w:instrText xml:space="preserve"> ADDIN ZOTERO_ITEM CSL_CITATION {"citationID":"jRxVTqbY","properties":{"formattedCitation":"(Mohd Zainudin &amp; Huda, 2024b)","plainCitation":"(Mohd Zainudin &amp; Huda, 2024b)","noteIndex":0},"citationItems":[{"id":12963,"uris":["http://zotero.org/users/11041210/items/XEEPTB4D"],"itemData":{"id":12963,"type":"article-journal","abstract":"This study aims to empirically examine the effectiveness of gamification strategies in religious learning as well as identify the challenges and opportunities that exist in efforts to enrich the learning experience of students under the Dini Integrated Curriculum known as Kurikulum Bersepadu Dini (KBD). Through a comprehensive and detailed literature review, this study analyzes the use of innovative gamification elements such as artificial intelligence (AI), augmented reality (AR), and advanced multimedia support in increasing students' motivation and interest in learning religion in Arabic Language. The results of the study show that the integration of this technology with traditional gamification elements such as points, badges, and leaderboards can trigger deeper student engagement and improve learning effectiveness. Students show a higher interest in learning activities and the ability to understand and remember religious concepts more deeply and effectively. However, this study also identified several challenges in the implementation of gamification, including the urgent need for comprehensive training and professional development for teachers as well as the provision of sound technological infrastructure and technical support in schools. By providing practical guidance and detailed recommendations for teachers, this study aims to assist in the application of effective gamification techniques in religious teaching, particularly in the context of KBD. This study concludes that gamification, if applied with the right strategy, has great potential to enrich the religious learning experience and achieve comprehensive and holistic educational goals under KBD, further fostering a generation of more knowledgeable and highly motivated students. With this, it is hoped that religious teaching can become more dynamic, interesting and relevant to today's young generation, as well as fulfilling the aspirations of the National Education Philosophy, the Islamic Education Philosophy  and the Malaysian Education Development Plan.","container-title":"International Journal of Modern Education","DOI":"10.35631/ijmoe.623059","ISSN":"2637-0905","issue":"23","journalAbbreviation":"IJMOE","language":"en","note":"publisher: Global Academic Excellence (M) Sdn Bhd","page":"854-864","source":"Crossref","title":"Strategic Gamification For Religious Learning: An Empirical Literature Review","title-short":"STRATEGIC GAMIFICATION FOR RELIGIOUS LEARNING","volume":"6","author":[{"family":"Mohd Zainudin","given":"Nur ‘Atieqah"},{"family":"Huda","given":"Miftachul"}],"issued":{"date-parts":[["2024",12,31]]}}}],"schema":"https://github.com/citation-style-language/schema/raw/master/csl-citation.json"} </w:instrText>
      </w:r>
      <w:r w:rsidR="005E6D73" w:rsidRPr="00125CD1">
        <w:fldChar w:fldCharType="separate"/>
      </w:r>
      <w:r w:rsidR="00125CD1" w:rsidRPr="00125CD1">
        <w:t>(Zainudin &amp; Huda, 2024b)</w:t>
      </w:r>
      <w:r w:rsidR="005E6D73" w:rsidRPr="00125CD1">
        <w:fldChar w:fldCharType="end"/>
      </w:r>
      <w:r w:rsidRPr="00125CD1">
        <w:t>.</w:t>
      </w:r>
    </w:p>
    <w:p w14:paraId="6299F759" w14:textId="5D2D327E" w:rsidR="00116D39" w:rsidRPr="00125CD1" w:rsidRDefault="00116D39" w:rsidP="003D7EA0">
      <w:pPr>
        <w:pStyle w:val="maintextFAITH"/>
      </w:pPr>
      <w:r w:rsidRPr="00125CD1">
        <w:t xml:space="preserve">Furthermore, emotional engagement is critical in IRE, as students are not only expected to acquire religious knowledge but also to develop a personal connection to their faith. Gamification has the potential to facilitate this emotional engagement by creating an enjoyable and immersive learning experience that aligns with students' interests and emotional needs. For instance, the use of game elements like narratives and challenges can make religious content more relatable and emotionally compelling, encouraging students to invest in their learning process </w:t>
      </w:r>
      <w:r w:rsidRPr="00125CD1">
        <w:fldChar w:fldCharType="begin"/>
      </w:r>
      <w:r w:rsidR="00125CD1" w:rsidRPr="00125CD1">
        <w:instrText xml:space="preserve"> ADDIN ZOTERO_ITEM CSL_CITATION {"citationID":"CYN41b3H","properties":{"formattedCitation":"(Arafah dkk., 2024)","plainCitation":"(Arafah dkk., 2024)","noteIndex":0},"citationItems":[{"id":12964,"uris":["http://zotero.org/users/11041210/items/AB6FU7G4"],"itemData":{"id":12964,"type":"article-journal","abstract":"Islamic religious education is an important part of the curriculum in many countries with a majority Muslim population. However, challenges in teaching Islam are often related to limited resources and lack of student involvement. The use of technology in learning can be a solution to improve the quality of Islamic learning and motivate students independently. This research also aims to determine the extent to which the application of gamification techniques can empower learners in the context of Islamic religious education. This research uses an experimental approach. Data about students' academic performance and level of selfmotivation were collected through academic tests and questionnaires before and after treatment. The research results show that the use of technology-enhanced learning tools in Islamic learning significantly improves students' academic performance. Apart from that, it was found that the application of gamification techniques in learning also had a positive impact on students' self-motivation. Students who are involved in learning that uses technology and gamification techniques show a higher level of motivation in studying Islamic religious material compared to students who follow conventional learning methods. The conclusion of this research explains that the use of technology-enhanced learning tools and gamification techniques can be an effective strategy in improving students' academic performance and self-motivation in learning Islamic religion. The implementation of technology in Islamic learning not only enriches the learning experience, but also empowers students to become more active and enthusiastic autonomous learners.","container-title":"Journal Neosantara Hybrid Learning","DOI":"10.55849/jnhl.v2i1.850","ISSN":"2986-979X, 2987-2316","issue":"1","journalAbbreviation":"J. Neosantara Hybrid Learning","language":"en","license":"https://creativecommons.org/licenses/by-sa/4.0","note":"publisher: Yayasan Pendidikan Islam Daarut Thufulah","page":"318-331","source":"Crossref","title":"Empowering Autonomous Islamic Religious Education Learners With Technology-Enhanced Tools To Improve Performance And Self-Motivation","volume":"2","author":[{"family":"Arafah","given":"Abdul Latief Arung"},{"family":"Jiao","given":"Deng"},{"family":"Selvia","given":"Devi Sela Eka"},{"family":"Wang","given":"Yuanyuan"},{"family":"Halim","given":"Chandra"}],"issued":{"date-parts":[["2024",5,13]]}}}],"schema":"https://github.com/citation-style-language/schema/raw/master/csl-citation.json"} </w:instrText>
      </w:r>
      <w:r w:rsidRPr="00125CD1">
        <w:fldChar w:fldCharType="separate"/>
      </w:r>
      <w:r w:rsidR="00125CD1" w:rsidRPr="00125CD1">
        <w:t xml:space="preserve">(Arafah </w:t>
      </w:r>
      <w:r w:rsidR="003D7EA0">
        <w:t>et al</w:t>
      </w:r>
      <w:r w:rsidR="00125CD1" w:rsidRPr="00125CD1">
        <w:t>., 2024)</w:t>
      </w:r>
      <w:r w:rsidRPr="00125CD1">
        <w:fldChar w:fldCharType="end"/>
      </w:r>
      <w:r w:rsidRPr="00125CD1">
        <w:t>.</w:t>
      </w:r>
    </w:p>
    <w:p w14:paraId="47B30732" w14:textId="77777777" w:rsidR="00116D39" w:rsidRPr="00125CD1" w:rsidRDefault="00116D39" w:rsidP="003D7EA0">
      <w:pPr>
        <w:pStyle w:val="maintextFAITH"/>
      </w:pPr>
      <w:r w:rsidRPr="00125CD1">
        <w:t>The integration of gamification into Islamic Religious Education holds great potential to transform the learning experience for primary students. By addressing key challenges such as lack of motivation and emotional engagement, gamification can foster a more interactive, enjoyable, and meaningful approach to learning religious content. However, successful implementation will require careful planning, teacher training, and the strategic use of digital tools that align with both educational goals and the values of IRE. Further research is needed to fully understand the impact of gamification on learning outcomes in this specific context and to develop best practices for its application in Islamic education.</w:t>
      </w:r>
    </w:p>
    <w:p w14:paraId="5B205593" w14:textId="77777777" w:rsidR="00116D39" w:rsidRDefault="00116D39" w:rsidP="00116D39">
      <w:pPr>
        <w:pStyle w:val="maintextFAITH"/>
      </w:pPr>
    </w:p>
    <w:p w14:paraId="220F3DA1" w14:textId="77777777" w:rsidR="003D7EA0" w:rsidRDefault="003D7EA0" w:rsidP="00116D39">
      <w:pPr>
        <w:pStyle w:val="maintextFAITH"/>
      </w:pPr>
    </w:p>
    <w:p w14:paraId="70D8B668" w14:textId="77777777" w:rsidR="003D7EA0" w:rsidRDefault="003D7EA0" w:rsidP="00116D39">
      <w:pPr>
        <w:pStyle w:val="maintextFAITH"/>
      </w:pPr>
    </w:p>
    <w:p w14:paraId="20EED1CE" w14:textId="77777777" w:rsidR="00125CD1" w:rsidRDefault="00125CD1" w:rsidP="00116D39">
      <w:pPr>
        <w:pStyle w:val="maintextFAITH"/>
      </w:pPr>
    </w:p>
    <w:p w14:paraId="3F8973A7" w14:textId="77777777" w:rsidR="003D7EA0" w:rsidRDefault="003D7EA0" w:rsidP="00116D39">
      <w:pPr>
        <w:pStyle w:val="maintextFAITH"/>
      </w:pPr>
    </w:p>
    <w:p w14:paraId="63678DF9" w14:textId="6E137F61" w:rsidR="00CA760A" w:rsidRPr="001F31D1" w:rsidRDefault="003D7EA0" w:rsidP="003D7EA0">
      <w:pPr>
        <w:pStyle w:val="heading1FAITH"/>
        <w:numPr>
          <w:ilvl w:val="0"/>
          <w:numId w:val="4"/>
        </w:numPr>
        <w:spacing w:before="0" w:after="0"/>
      </w:pPr>
      <w:r>
        <w:lastRenderedPageBreak/>
        <w:t>Research</w:t>
      </w:r>
      <w:r w:rsidR="00CA760A">
        <w:t xml:space="preserve"> Method</w:t>
      </w:r>
    </w:p>
    <w:p w14:paraId="4F8BFDA1" w14:textId="0D0D8E60" w:rsidR="00116D39" w:rsidRPr="00125CD1" w:rsidRDefault="00CA760A" w:rsidP="003D7EA0">
      <w:pPr>
        <w:pStyle w:val="maintextFAITH"/>
      </w:pPr>
      <w:r w:rsidRPr="00125CD1">
        <w:t xml:space="preserve">In </w:t>
      </w:r>
      <w:r w:rsidR="00116D39" w:rsidRPr="00125CD1">
        <w:t>This study adopts a library research methodology, which involves systematically collecting, analyzing, and synthesizing academic literature related to the topic of gamification in Islamic Religious Education (IRE)</w:t>
      </w:r>
      <w:r w:rsidR="005E6D73" w:rsidRPr="00125CD1">
        <w:t xml:space="preserve"> </w:t>
      </w:r>
      <w:r w:rsidR="005E6D73" w:rsidRPr="00125CD1">
        <w:fldChar w:fldCharType="begin"/>
      </w:r>
      <w:r w:rsidR="00125CD1" w:rsidRPr="00125CD1">
        <w:instrText xml:space="preserve"> ADDIN ZOTERO_ITEM CSL_CITATION {"citationID":"ZW3FpB5Y","properties":{"formattedCitation":"(Creswell, 2009)","plainCitation":"(Creswell, 2009)","noteIndex":0},"citationItems":[{"id":7082,"uris":["http://zotero.org/users/11041210/items/ZF98DZCE"],"itemData":{"id":7082,"type":"book","event-place":"London","publisher":"Sage","publisher-place":"London","title":"Research Designe Qualtative, Quantitative, and Mixed Methode Approaches","author":[{"family":"Creswell","given":"John W."}],"issued":{"date-parts":[["2009"]]}}}],"schema":"https://github.com/citation-style-language/schema/raw/master/csl-citation.json"} </w:instrText>
      </w:r>
      <w:r w:rsidR="005E6D73" w:rsidRPr="00125CD1">
        <w:fldChar w:fldCharType="separate"/>
      </w:r>
      <w:r w:rsidR="00125CD1" w:rsidRPr="00125CD1">
        <w:t>(Creswell, 2009)</w:t>
      </w:r>
      <w:r w:rsidR="005E6D73" w:rsidRPr="00125CD1">
        <w:fldChar w:fldCharType="end"/>
      </w:r>
      <w:r w:rsidR="00116D39" w:rsidRPr="00125CD1">
        <w:t>. The primary goal is to understand how gamification influences key aspects such as motivation, emotional engagement, and learning outcomes for primary school students in the context of Islamic education. The methodology outlined below explains the key steps taken in conducting this systematic review.</w:t>
      </w:r>
    </w:p>
    <w:p w14:paraId="488DF6E2" w14:textId="6BAE9DB8" w:rsidR="00116D39" w:rsidRPr="00125CD1" w:rsidRDefault="00116D39" w:rsidP="003D7EA0">
      <w:pPr>
        <w:pStyle w:val="maintextFAITH"/>
      </w:pPr>
      <w:r w:rsidRPr="00125CD1">
        <w:t xml:space="preserve">The first step in the review process was conducting a comprehensive literature search across various academic databases, such as Google Scholar, JSTOR, ERIC, and other relevant platforms. The search focused on a set of specific keywords, including "gamification," "Islamic Religious Education," "primary students," "motivation," "emotional engagement," and "learning psychology." This approach ensured a broad yet focused search, capturing a wide range of studies related to gamification and its applications within educational settings. The keywords selected were essential in ensuring that the review could identify studies that addressed the intersection of gamification, Islamic education, and student learning outcomes </w:t>
      </w:r>
      <w:r w:rsidRPr="00125CD1">
        <w:fldChar w:fldCharType="begin"/>
      </w:r>
      <w:r w:rsidR="00125CD1" w:rsidRPr="00125CD1">
        <w:instrText xml:space="preserve"> ADDIN ZOTERO_ITEM CSL_CITATION {"citationID":"kaHmxbJ3","properties":{"formattedCitation":"(Mohd Zainudin &amp; Huda, 2024a; Safroni &amp; Hidayah, 2024)","plainCitation":"(Mohd Zainudin &amp; Huda, 2024a; Safroni &amp; Hidayah, 2024)","noteIndex":0},"citationItems":[{"id":12961,"uris":["http://zotero.org/users/11041210/items/TL4W6AA5"],"itemData":{"id":12961,"type":"article-journal","abstract":"This study aims to empirically examine the effectiveness of gamification strategies in religious learning as well as identify the challenges and opportunities that exist in efforts to enrich the learning experience of students under the Dini Integrated Curriculum known as Kurikulum Bersepadu Dini (KBD). Through a comprehensive and detailed literature review, this study analyzes the use of innovative gamification elements such as artificial intelligence (AI), augmented reality (AR), and advanced multimedia support in increasing students' motivation and interest in learning religion in Arabic Language. The results of the study show that the integration of this technology with traditional gamification elements such as points, badges, and leaderboards can trigger deeper student engagement and improve learning effectiveness. Students show a higher interest in learning activities and the ability to understand and remember religious concepts more deeply and effectively. However, this study also identified several challenges in the implementation of gamification, including the urgent need for comprehensive training and professional development for teachers as well as the provision of sound technological infrastructure and technical support in schools. By providing practical guidance and detailed recommendations for teachers, this study aims to assist in the application of effective gamification techniques in religious teaching, particularly in the context of KBD. This study concludes that gamification, if applied with the right strategy, has great potential to enrich the religious learning experience and achieve comprehensive and holistic educational goals under KBD, further fostering a generation of more knowledgeable and highly motivated students. With this, it is hoped that religious teaching can become more dynamic, interesting and relevant to today's young generation, as well as fulfilling the aspirations of the National Education Philosophy, the Islamic Education Philosophy  and the Malaysian Education Development Plan.","container-title":"International Journal of Modern Education","DOI":"10.35631/ijmoe.623059","ISSN":"2637-0905","issue":"23","journalAbbreviation":"IJMOE","language":"en","note":"publisher: Global Academic Excellence (M) Sdn Bhd","page":"854-864","source":"Crossref","title":"STRATEGIC GAMIFICATION FOR RELIGIOUS LEARNING: AN EMPIRICAL LITERATURE REVIEW","title-short":"STRATEGIC GAMIFICATION FOR RELIGIOUS LEARNING","volume":"6","author":[{"family":"Mohd Zainudin","given":"Nur ‘Atieqah"},{"family":"Huda","given":"Miftachul"}],"issued":{"date-parts":[["2024",12,31]]}}},{"id":12962,"uris":["http://zotero.org/users/11041210/items/LA9452Y3"],"itemData":{"id":12962,"type":"article-journal","abstract":"Learning activities cannot be separated from the role of the teacher. The teacher's task is to manage learning in the classroom and use various methods to achieve the learning objectives that have been set. This cannot be separated from the learning model/method used. The aim of this research is to describe the supporting, inhibiting and supporting factors for assessing gamification learning models in Islamic religious education regarding the emotional aspects of students at Madrasah Ibtidaiyah Al-kholili, Probolinggo City. This research uses field research with a qualitative approach. The method used is descriptive research. The subjects of this research were curriculum directors, PAI teachers, and student representatives. Data collection techniques use observation, interviews and documentation. Based on the research results, it can be concluded that the evaluation of the gamification learning model of Islamic religious education on the emotional aspects of students at Al-kholili Islamic Middle School, Probolinggo City can increase student interest and motivation. it has been proven that you can. Children respond to learning, how to complete the tasks given, how to pay attention to the material presented, and the availability of several supporting factors, namely Wi-Fi, depending on possibilities, student interest, teacher motivation and available focus. Children need time to adjust due to inhibiting factors in the form of media and time constraints.","container-title":"AL-MUADDIB: Jurnal Kajian Ilmu Kependidikan","DOI":"10.46773/muaddib.v6i1.1131","ISSN":"2685-9149, 2723-0805","issue":"1","journalAbbreviation":"AL-MUADDIB: J. Kaj. Il. Kepend.","language":"id","license":"https://creativecommons.org/licenses/by-nc-sa/4.0","note":"publisher: STAI Muhammadiyah Probolinggo","page":"424-436","source":"Crossref","title":"Strategi Pembelajaran Pendidikan Agama Islam Berbasis Gamifikasi Untuk Meningkatkan Motivasi Belajar Siswa","volume":"6","author":[{"family":"Safroni","given":"Sherli"},{"family":"Hidayah","given":"Ulil"}],"issued":{"date-parts":[["2024",5,5]]}}}],"schema":"https://github.com/citation-style-language/schema/raw/master/csl-citation.json"} </w:instrText>
      </w:r>
      <w:r w:rsidRPr="00125CD1">
        <w:fldChar w:fldCharType="separate"/>
      </w:r>
      <w:r w:rsidR="00125CD1" w:rsidRPr="00125CD1">
        <w:t>(Mohd Zainudin &amp; Huda, 2024a; Safroni &amp; Hidayah, 2024)</w:t>
      </w:r>
      <w:r w:rsidRPr="00125CD1">
        <w:fldChar w:fldCharType="end"/>
      </w:r>
      <w:r w:rsidRPr="00125CD1">
        <w:t>.</w:t>
      </w:r>
    </w:p>
    <w:p w14:paraId="09451D70" w14:textId="72D923C2" w:rsidR="00116D39" w:rsidRPr="00125CD1" w:rsidRDefault="00116D39" w:rsidP="003D7EA0">
      <w:pPr>
        <w:pStyle w:val="maintextFAITH"/>
      </w:pPr>
      <w:r w:rsidRPr="00125CD1">
        <w:t xml:space="preserve">A search strategy that combined these keywords with filters for peer-reviewed journal articles, books, and conference papers published between 2010 and 2025 was employed to gather the most up-to-date and relevant research on the topic. Studies focused on early years or primary education were prioritized, as the review sought to explore the influence of gamification specifically on younger students. This comprehensive approach helped gather relevant studies that address both general gamification in education and its specific use in the context of Islamic Religious Education </w:t>
      </w:r>
      <w:r w:rsidRPr="00125CD1">
        <w:fldChar w:fldCharType="begin"/>
      </w:r>
      <w:r w:rsidR="00125CD1" w:rsidRPr="00125CD1">
        <w:instrText xml:space="preserve"> ADDIN ZOTERO_ITEM CSL_CITATION {"citationID":"pQwivhhf","properties":{"formattedCitation":"(Arafah dkk., 2024; Zourmpakis dkk., 2023)","plainCitation":"(Arafah dkk., 2024; Zourmpakis dkk., 2023)","noteIndex":0},"citationItems":[{"id":12964,"uris":["http://zotero.org/users/11041210/items/AB6FU7G4"],"itemData":{"id":12964,"type":"article-journal","abstract":"Islamic religious education is an important part of the curriculum in many countries with a majority Muslim population. However, challenges in teaching Islam are often related to limited resources and lack of student involvement. The use of technology in learning can be a solution to improve the quality of Islamic learning and motivate students independently. This research also aims to determine the extent to which the application of gamification techniques can empower learners in the context of Islamic religious education. This research uses an experimental approach. Data about students' academic performance and level of selfmotivation were collected through academic tests and questionnaires before and after treatment. The research results show that the use of technology-enhanced learning tools in Islamic learning significantly improves students' academic performance. Apart from that, it was found that the application of gamification techniques in learning also had a positive impact on students' self-motivation. Students who are involved in learning that uses technology and gamification techniques show a higher level of motivation in studying Islamic religious material compared to students who follow conventional learning methods. The conclusion of this research explains that the use of technology-enhanced learning tools and gamification techniques can be an effective strategy in improving students' academic performance and self-motivation in learning Islamic religion. The implementation of technology in Islamic learning not only enriches the learning experience, but also empowers students to become more active and enthusiastic autonomous learners.","container-title":"Journal Neosantara Hybrid Learning","DOI":"10.55849/jnhl.v2i1.850","ISSN":"2986-979X, 2987-2316","issue":"1","journalAbbreviation":"J. Neosantara Hybrid Learning","language":"en","license":"https://creativecommons.org/licenses/by-sa/4.0","note":"publisher: Yayasan Pendidikan Islam Daarut Thufulah","page":"318-331","source":"Crossref","title":"Empowering Autonomous Islamic Religious Education Learners With Technology-Enhanced Tools To Improve Performance And Self-Motivation","volume":"2","author":[{"family":"Arafah","given":"Abdul Latief Arung"},{"family":"Jiao","given":"Deng"},{"family":"Selvia","given":"Devi Sela Eka"},{"family":"Wang","given":"Yuanyuan"},{"family":"Halim","given":"Chandra"}],"issued":{"date-parts":[["2024",5,13]]}}},{"id":12968,"uris":["http://zotero.org/users/11041210/items/K7BXTNP2"],"itemData":{"id":12968,"type":"article-journal","abstract":"In recent years, gamiﬁcation has captured the attention of researchers and educators, particularly in science education, where students often express negative emotions. Gamiﬁcation methods aim to motivate learners to participate in learning by incorporating intrinsic and extrinsic motivational factors. However, the effectiveness of gamiﬁcation has yielded varying outcomes, prompting researchers to explore adaptive gamiﬁcation as an alternative approach. Nevertheless, there needs to be more research on adaptive gamiﬁcation approaches, particularly concerning motivation, which is the primary objective of gamiﬁcation. In this study, we developed and tested an adaptive gamiﬁcation environment based on speciﬁc motivational and psychological frameworks. This environment incorporated adaptive criteria, learning strategies, gaming elements, and all crucial aspects of science education for six classes of third-grade students in primary school. We employed a quantitative approach to gain insights into the motivational impact on students and their perception of the adaptive gamiﬁcation application. We aimed to understand how each game element experienced by students inﬂuenced their motivation. Based on our ﬁndings, students were more motivated to learn science when using an adaptive gamiﬁcation environment. Additionally, the adaptation process was largely successful, as students generally liked the game elements integrated into their lessons, indicating the effectiveness of the multidimensional framework employed in enhancing students’ experiences and engagement.","container-title":"Computers","DOI":"10.3390/computers12070143","ISSN":"2073-431X","issue":"7","language":"en","license":"https://creativecommons.org/licenses/by/4.0/","note":"publisher: MDPI AG","page":"143","source":"Crossref","title":"Adaptive Gamification in Science Education: An Analysis of the Impact of Implementation and Adapted Game Elements on Students’ Motivation","title-short":"Adaptive Gamification in Science Education","volume":"12","author":[{"family":"Zourmpakis","given":"Alkinoos-Ioannis"},{"family":"Kalogiannakis","given":"Michail"},{"family":"Papadakis","given":"Stamatios"}],"issued":{"date-parts":[["2023",7,18]]}}}],"schema":"https://github.com/citation-style-language/schema/raw/master/csl-citation.json"} </w:instrText>
      </w:r>
      <w:r w:rsidRPr="00125CD1">
        <w:fldChar w:fldCharType="separate"/>
      </w:r>
      <w:r w:rsidR="00125CD1" w:rsidRPr="00125CD1">
        <w:t xml:space="preserve">(Arafah </w:t>
      </w:r>
      <w:r w:rsidR="003D7EA0">
        <w:t>et al</w:t>
      </w:r>
      <w:r w:rsidR="00125CD1" w:rsidRPr="00125CD1">
        <w:t xml:space="preserve">., 2024; Zourmpakis </w:t>
      </w:r>
      <w:r w:rsidR="003D7EA0">
        <w:t>et al</w:t>
      </w:r>
      <w:r w:rsidR="00125CD1" w:rsidRPr="00125CD1">
        <w:t>., 2023)</w:t>
      </w:r>
      <w:r w:rsidRPr="00125CD1">
        <w:fldChar w:fldCharType="end"/>
      </w:r>
      <w:r w:rsidRPr="00125CD1">
        <w:t>.</w:t>
      </w:r>
    </w:p>
    <w:p w14:paraId="3B87034A" w14:textId="3AABE5AA" w:rsidR="00116D39" w:rsidRPr="00125CD1" w:rsidRDefault="00116D39" w:rsidP="003D7EA0">
      <w:pPr>
        <w:pStyle w:val="maintextFAITH"/>
      </w:pPr>
      <w:r w:rsidRPr="00125CD1">
        <w:t xml:space="preserve">Once the relevant studies were identified, key information was extracted from each study. This included the research objectives, methodologies, findings, and conclusions related to the impact of gamification on motivation, emotional engagement, and learning outcomes. The focus was particularly on how these factors influence primary students’ experience in IRE. </w:t>
      </w:r>
    </w:p>
    <w:p w14:paraId="4596112A" w14:textId="6F968917" w:rsidR="00116D39" w:rsidRPr="00125CD1" w:rsidRDefault="00116D39" w:rsidP="003D7EA0">
      <w:pPr>
        <w:pStyle w:val="maintextFAITH"/>
      </w:pPr>
      <w:r w:rsidRPr="00125CD1">
        <w:t>The studies were analyzed to identify common themes, trends, and gaps in the literature. Key themes that emerged included the positive impact of gamification on student motivation and emotional engagement, with many studies highlighting how gamified learning environments fostered intrinsic motivation, improved concentration, and led to better learning outcomes. For example, studies on gamification in Islamic education have shown that tools like interactive quizzes and competitions can enhance students' connection to the material.</w:t>
      </w:r>
    </w:p>
    <w:p w14:paraId="291D4596" w14:textId="7D162B7E" w:rsidR="00116D39" w:rsidRDefault="00116D39" w:rsidP="003D7EA0">
      <w:pPr>
        <w:pStyle w:val="maintextFAITH"/>
      </w:pPr>
      <w:r w:rsidRPr="00125CD1">
        <w:t>Moreover, the analysis revealed some gaps in the literature, particularly regarding the specific challenges faced when integrating gamification in Islamic Religious Education. While gamification has been explored in secular educational contexts, there is still limited research on its effectiveness in religious education, especially within primary schools. This indicates a need for further investigation into how gamified elements can be tailored to meet the unique pedagogical and moral goals of Islamic education.</w:t>
      </w:r>
    </w:p>
    <w:p w14:paraId="27F5A63B" w14:textId="77777777" w:rsidR="003D7EA0" w:rsidRPr="00125CD1" w:rsidRDefault="003D7EA0" w:rsidP="003D7EA0">
      <w:pPr>
        <w:pStyle w:val="maintextFAITH"/>
      </w:pPr>
    </w:p>
    <w:p w14:paraId="669C3E29" w14:textId="1A964A33" w:rsidR="00CA760A" w:rsidRPr="003D7EA0" w:rsidRDefault="00CA760A" w:rsidP="003D7EA0">
      <w:pPr>
        <w:pStyle w:val="maintextFAITH"/>
        <w:numPr>
          <w:ilvl w:val="0"/>
          <w:numId w:val="4"/>
        </w:numPr>
        <w:rPr>
          <w:b/>
          <w:bCs/>
          <w:sz w:val="24"/>
          <w:szCs w:val="24"/>
        </w:rPr>
      </w:pPr>
      <w:r w:rsidRPr="003D7EA0">
        <w:rPr>
          <w:b/>
          <w:bCs/>
          <w:sz w:val="24"/>
          <w:szCs w:val="24"/>
        </w:rPr>
        <w:t>Results and Discussion</w:t>
      </w:r>
    </w:p>
    <w:p w14:paraId="412A2AB6" w14:textId="77777777" w:rsidR="00116D39" w:rsidRPr="003D7EA0" w:rsidRDefault="00116D39" w:rsidP="003D7EA0">
      <w:pPr>
        <w:pStyle w:val="maintextFAITH"/>
        <w:ind w:firstLine="0"/>
        <w:rPr>
          <w:b/>
          <w:bCs/>
        </w:rPr>
      </w:pPr>
      <w:r w:rsidRPr="003D7EA0">
        <w:rPr>
          <w:b/>
          <w:bCs/>
        </w:rPr>
        <w:t>Impact of Gamification on Motivation in Islamic Religious Education</w:t>
      </w:r>
    </w:p>
    <w:p w14:paraId="09B569C1" w14:textId="77777777" w:rsidR="00116D39" w:rsidRPr="00125CD1" w:rsidRDefault="00116D39" w:rsidP="003D7EA0">
      <w:pPr>
        <w:pStyle w:val="maintextFAITH"/>
      </w:pPr>
      <w:r w:rsidRPr="00125CD1">
        <w:t>The studies reviewed consistently demonstrate that gamification plays a crucial role in boosting student motivation in Islamic Religious Education (IRE) by creating engaging and interactive learning environments. By incorporating elements like points, badges, leaderboards, and challenges, gamification encourages a sense of achievement and accomplishment among students. These features not only increase participation but also promote intrinsic motivation, prompting students to engage more deeply with the material. Additionally, gamification taps into psychological motivators, such as offering rewards and recognition, which further enhances students' desire to succeed in their religious studies.</w:t>
      </w:r>
    </w:p>
    <w:p w14:paraId="0FA6B83B" w14:textId="769B6262" w:rsidR="00116D39" w:rsidRPr="00125CD1" w:rsidRDefault="00116D39" w:rsidP="003D7EA0">
      <w:pPr>
        <w:pStyle w:val="maintextFAITH"/>
      </w:pPr>
      <w:r w:rsidRPr="00125CD1">
        <w:t>In a study by Arafah et al., the use of gamified learning tools in IRE was found to significantly improve students' academic performance and self-motivation</w:t>
      </w:r>
      <w:r w:rsidR="001B288C" w:rsidRPr="00125CD1">
        <w:t xml:space="preserve"> </w:t>
      </w:r>
      <w:r w:rsidR="001B288C" w:rsidRPr="00125CD1">
        <w:fldChar w:fldCharType="begin"/>
      </w:r>
      <w:r w:rsidR="00125CD1" w:rsidRPr="00125CD1">
        <w:instrText xml:space="preserve"> ADDIN ZOTERO_ITEM CSL_CITATION {"citationID":"NjWFm9oh","properties":{"formattedCitation":"(Arafah dkk., 2024)","plainCitation":"(Arafah dkk., 2024)","noteIndex":0},"citationItems":[{"id":12964,"uris":["http://zotero.org/users/11041210/items/AB6FU7G4"],"itemData":{"id":12964,"type":"article-journal","abstract":"Islamic religious education is an important part of the curriculum in many countries with a majority Muslim population. However, challenges in teaching Islam are often related to limited resources and lack of student involvement. The use of technology in learning can be a solution to improve the quality of Islamic learning and motivate students independently. This research also aims to determine the extent to which the application of gamification techniques can empower learners in the context of Islamic religious education. This research uses an experimental approach. Data about students' academic performance and level of selfmotivation were collected through academic tests and questionnaires before and after treatment. The research results show that the use of technology-enhanced learning tools in Islamic learning significantly improves students' academic performance. Apart from that, it was found that the application of gamification techniques in learning also had a positive impact on students' self-motivation. Students who are involved in learning that uses technology and gamification techniques show a higher level of motivation in studying Islamic religious material compared to students who follow conventional learning methods. The conclusion of this research explains that the use of technology-enhanced learning tools and gamification techniques can be an effective strategy in improving students' academic performance and self-motivation in learning Islamic religion. The implementation of technology in Islamic learning not only enriches the learning experience, but also empowers students to become more active and enthusiastic autonomous learners.","container-title":"Journal Neosantara Hybrid Learning","DOI":"10.55849/jnhl.v2i1.850","ISSN":"2986-979X, 2987-2316","issue":"1","journalAbbreviation":"J. Neosantara Hybrid Learning","language":"en","license":"https://creativecommons.org/licenses/by-sa/4.0","note":"publisher: Yayasan Pendidikan Islam Daarut Thufulah","page":"318-331","source":"Crossref","title":"Empowering Autonomous Islamic Religious Education Learners With Technology-Enhanced Tools To Improve Performance And Self-Motivation","volume":"2","author":[{"family":"Arafah","given":"Abdul Latief Arung"},{"family":"Jiao","given":"Deng"},{"family":"Selvia","given":"Devi Sela Eka"},{"family":"Wang","given":"Yuanyuan"},{"family":"Halim","given":"Chandra"}],"issued":{"date-parts":[["2024",5,13]]}}}],"schema":"https://github.com/citation-style-language/schema/raw/master/csl-citation.json"} </w:instrText>
      </w:r>
      <w:r w:rsidR="001B288C" w:rsidRPr="00125CD1">
        <w:fldChar w:fldCharType="separate"/>
      </w:r>
      <w:r w:rsidR="00125CD1" w:rsidRPr="00125CD1">
        <w:t xml:space="preserve">(Arafah </w:t>
      </w:r>
      <w:r w:rsidR="003D7EA0">
        <w:t>et al</w:t>
      </w:r>
      <w:r w:rsidR="00125CD1" w:rsidRPr="00125CD1">
        <w:t>., 2024)</w:t>
      </w:r>
      <w:r w:rsidR="001B288C" w:rsidRPr="00125CD1">
        <w:fldChar w:fldCharType="end"/>
      </w:r>
      <w:r w:rsidRPr="00125CD1">
        <w:t xml:space="preserve">. The study revealed that students involved in gamified learning environments showed higher levels of enthusiasm and engagement with Islamic content compared to their peers taught through traditional methods. This supports earlier, who explored the use of gamified quizzes and interactive activities in IRE, concluding that these gamified elements sparked greater interest and participation in learning about Islamic concepts, leading to increased enjoyment and motivation. The incorporation of points and rewards in the classroom has </w:t>
      </w:r>
      <w:r w:rsidRPr="00125CD1">
        <w:lastRenderedPageBreak/>
        <w:t>proven to be an effective way to create a dynamic learning environment and enhance student motivation.</w:t>
      </w:r>
    </w:p>
    <w:p w14:paraId="09F65BDF" w14:textId="19290A06" w:rsidR="00116D39" w:rsidRPr="00125CD1" w:rsidRDefault="00116D39" w:rsidP="003D7EA0">
      <w:pPr>
        <w:pStyle w:val="maintextFAITH"/>
      </w:pPr>
      <w:r w:rsidRPr="00125CD1">
        <w:t xml:space="preserve">Similarly, research by </w:t>
      </w:r>
      <w:r w:rsidR="001B288C" w:rsidRPr="00125CD1">
        <w:t>azizah, et.al.</w:t>
      </w:r>
      <w:r w:rsidRPr="00125CD1">
        <w:t xml:space="preserve"> showed that gamification techniques, such as rewarding correct answers and encouraging friendly competition, significantly raised motivation levels in religious education</w:t>
      </w:r>
      <w:r w:rsidR="001B288C" w:rsidRPr="00125CD1">
        <w:t xml:space="preserve"> </w:t>
      </w:r>
      <w:r w:rsidR="001B288C" w:rsidRPr="00125CD1">
        <w:fldChar w:fldCharType="begin"/>
      </w:r>
      <w:r w:rsidR="00125CD1" w:rsidRPr="00125CD1">
        <w:instrText xml:space="preserve"> ADDIN ZOTERO_ITEM CSL_CITATION {"citationID":"tDYV0aC5","properties":{"formattedCitation":"(S. S. Azizah dkk., 2024)","plainCitation":"(S. S. Azizah dkk., 2024)","noteIndex":0},"citationItems":[{"id":12967,"uris":["http://zotero.org/users/11041210/items/HB5Y6RMR"],"itemData":{"id":12967,"type":"article-journal","abstract":"Providing an impact or contribution in increasing student learning motivation is the aim of this research, especially in the Islamic Religious Education subject at SMAN 13 Bandung through the application of a gamification model using the Kahoot application. This research was conducted as an effort to provide a contribution or solution to the problems of PAI learning in the modern era during the development of IT and student behavior. The gamification model was chosen because it was considered capable of attracting student interest and increasing interaction during learning. Pre-Experimental Design in the form of One Group Pre Test – Post Test is the method in this research. The sample consisted of 33 students from class XI-4 and data was collected through a motivation questionnaire with a Likert scale which was then analyzed using the Paired Sample T-Test statistical test. This research resulted in an increase in student learning motivation after implementing the gamification model with the Kahoot application, especially in indicators of student achievement, leadership and social relationships. In conclusion, gamification with Kahoot has an influence in creating an interactive learning atmosphere and supports increasing student motivation in PAI lessons. This emphasizes the importance of innovation in teaching methods to increase student engagement and motivation.","container-title":"LEARNING : Jurnal Inovasi Penelitian Pendidikan dan Pembelajaran","DOI":"10.51878/learning.v4i4.3823","ISSN":"2777-0575, 2777-0583","issue":"4","journalAbbreviation":"learning","language":"id","license":"https://creativecommons.org/licenses/by-sa/4.0","note":"publisher: Pusat Pengembangan Pendidikan dan Penelitian Indonesia","page":"1221-1229","source":"Crossref","title":"Implementasi Model Gamifikasi untuk Meningkatkan Motivasi Siswa Pada Pelajaran PAI di SMAN 13 Bandung","volume":"4","author":[{"family":"Azizah","given":"Siti Syafiqah"},{"family":"Syahidin","given":"Syahidin"},{"family":"Anwar","given":"Saepul"}],"issued":{"date-parts":[["2024",12,19]]}}}],"schema":"https://github.com/citation-style-language/schema/raw/master/csl-citation.json"} </w:instrText>
      </w:r>
      <w:r w:rsidR="001B288C" w:rsidRPr="00125CD1">
        <w:fldChar w:fldCharType="separate"/>
      </w:r>
      <w:r w:rsidR="00125CD1" w:rsidRPr="00125CD1">
        <w:t xml:space="preserve">(S. S. Azizah </w:t>
      </w:r>
      <w:r w:rsidR="003D7EA0">
        <w:t>et al</w:t>
      </w:r>
      <w:r w:rsidR="00125CD1" w:rsidRPr="00125CD1">
        <w:t>., 2024)</w:t>
      </w:r>
      <w:r w:rsidR="001B288C" w:rsidRPr="00125CD1">
        <w:fldChar w:fldCharType="end"/>
      </w:r>
      <w:r w:rsidRPr="00125CD1">
        <w:t>. Other studies, such as those by Zainudin and Huda, support this, emphasizing that gamification can enrich the overall learning experience in religious studies</w:t>
      </w:r>
      <w:r w:rsidR="001B288C" w:rsidRPr="00125CD1">
        <w:t xml:space="preserve"> </w:t>
      </w:r>
      <w:r w:rsidR="001B288C" w:rsidRPr="00125CD1">
        <w:fldChar w:fldCharType="begin"/>
      </w:r>
      <w:r w:rsidR="00125CD1" w:rsidRPr="00125CD1">
        <w:instrText xml:space="preserve"> ADDIN ZOTERO_ITEM CSL_CITATION {"citationID":"L2OXSjMg","properties":{"formattedCitation":"(Mohd Zainudin &amp; Huda, 2024b)","plainCitation":"(Mohd Zainudin &amp; Huda, 2024b)","noteIndex":0},"citationItems":[{"id":12963,"uris":["http://zotero.org/users/11041210/items/XEEPTB4D"],"itemData":{"id":12963,"type":"article-journal","abstract":"This study aims to empirically examine the effectiveness of gamification strategies in religious learning as well as identify the challenges and opportunities that exist in efforts to enrich the learning experience of students under the Dini Integrated Curriculum known as Kurikulum Bersepadu Dini (KBD). Through a comprehensive and detailed literature review, this study analyzes the use of innovative gamification elements such as artificial intelligence (AI), augmented reality (AR), and advanced multimedia support in increasing students' motivation and interest in learning religion in Arabic Language. The results of the study show that the integration of this technology with traditional gamification elements such as points, badges, and leaderboards can trigger deeper student engagement and improve learning effectiveness. Students show a higher interest in learning activities and the ability to understand and remember religious concepts more deeply and effectively. However, this study also identified several challenges in the implementation of gamification, including the urgent need for comprehensive training and professional development for teachers as well as the provision of sound technological infrastructure and technical support in schools. By providing practical guidance and detailed recommendations for teachers, this study aims to assist in the application of effective gamification techniques in religious teaching, particularly in the context of KBD. This study concludes that gamification, if applied with the right strategy, has great potential to enrich the religious learning experience and achieve comprehensive and holistic educational goals under KBD, further fostering a generation of more knowledgeable and highly motivated students. With this, it is hoped that religious teaching can become more dynamic, interesting and relevant to today's young generation, as well as fulfilling the aspirations of the National Education Philosophy, the Islamic Education Philosophy  and the Malaysian Education Development Plan.","container-title":"International Journal of Modern Education","DOI":"10.35631/ijmoe.623059","ISSN":"2637-0905","issue":"23","journalAbbreviation":"IJMOE","language":"en","note":"publisher: Global Academic Excellence (M) Sdn Bhd","page":"854-864","source":"Crossref","title":"Strategic Gamification For Religious Learning: An Empirical Literature Review","title-short":"STRATEGIC GAMIFICATION FOR RELIGIOUS LEARNING","volume":"6","author":[{"family":"Mohd Zainudin","given":"Nur ‘Atieqah"},{"family":"Huda","given":"Miftachul"}],"issued":{"date-parts":[["2024",12,31]]}}}],"schema":"https://github.com/citation-style-language/schema/raw/master/csl-citation.json"} </w:instrText>
      </w:r>
      <w:r w:rsidR="001B288C" w:rsidRPr="00125CD1">
        <w:fldChar w:fldCharType="separate"/>
      </w:r>
      <w:r w:rsidR="00125CD1" w:rsidRPr="00125CD1">
        <w:t>(Mohd Zainudin &amp; Huda, 2024b)</w:t>
      </w:r>
      <w:r w:rsidR="001B288C" w:rsidRPr="00125CD1">
        <w:fldChar w:fldCharType="end"/>
      </w:r>
      <w:r w:rsidRPr="00125CD1">
        <w:t>. By adding competitive elements like leaderboards and offering intrinsic rewards, students become more invested in their learning</w:t>
      </w:r>
      <w:r w:rsidR="003D7EA0">
        <w:t xml:space="preserve"> </w:t>
      </w:r>
      <w:r w:rsidRPr="00125CD1">
        <w:t>not just for external incentives, but also for the personal satisfaction of achieving their own milestones.</w:t>
      </w:r>
    </w:p>
    <w:p w14:paraId="4B2F2279" w14:textId="06833BBC" w:rsidR="00116D39" w:rsidRPr="00125CD1" w:rsidRDefault="00116D39" w:rsidP="003D7EA0">
      <w:pPr>
        <w:pStyle w:val="maintextFAITH"/>
      </w:pPr>
      <w:r w:rsidRPr="00125CD1">
        <w:t>Additionally, a study by Safroni and Hidayah further corroborates these findings, showing that students in Islamic Religious Education classes experienced increased motivation when gamification was integrated</w:t>
      </w:r>
      <w:r w:rsidR="001B288C" w:rsidRPr="00125CD1">
        <w:t xml:space="preserve"> </w:t>
      </w:r>
      <w:r w:rsidR="001B288C" w:rsidRPr="00125CD1">
        <w:fldChar w:fldCharType="begin"/>
      </w:r>
      <w:r w:rsidR="00125CD1" w:rsidRPr="00125CD1">
        <w:instrText xml:space="preserve"> ADDIN ZOTERO_ITEM CSL_CITATION {"citationID":"F8bSoyOP","properties":{"formattedCitation":"(Safroni &amp; Hidayah, 2024)","plainCitation":"(Safroni &amp; Hidayah, 2024)","noteIndex":0},"citationItems":[{"id":12962,"uris":["http://zotero.org/users/11041210/items/LA9452Y3"],"itemData":{"id":12962,"type":"article-journal","abstract":"Learning activities cannot be separated from the role of the teacher. The teacher's task is to manage learning in the classroom and use various methods to achieve the learning objectives that have been set. This cannot be separated from the learning model/method used. The aim of this research is to describe the supporting, inhibiting and supporting factors for assessing gamification learning models in Islamic religious education regarding the emotional aspects of students at Madrasah Ibtidaiyah Al-kholili, Probolinggo City. This research uses field research with a qualitative approach. The method used is descriptive research. The subjects of this research were curriculum directors, PAI teachers, and student representatives. Data collection techniques use observation, interviews and documentation. Based on the research results, it can be concluded that the evaluation of the gamification learning model of Islamic religious education on the emotional aspects of students at Al-kholili Islamic Middle School, Probolinggo City can increase student interest and motivation. it has been proven that you can. Children respond to learning, how to complete the tasks given, how to pay attention to the material presented, and the availability of several supporting factors, namely Wi-Fi, depending on possibilities, student interest, teacher motivation and available focus. Children need time to adjust due to inhibiting factors in the form of media and time constraints.","container-title":"AL-MUADDIB: Jurnal Kajian Ilmu Kependidikan","DOI":"10.46773/muaddib.v6i1.1131","ISSN":"2685-9149, 2723-0805","issue":"1","journalAbbreviation":"AL-MUADDIB: J. Kaj. Il. Kepend.","language":"id","license":"https://creativecommons.org/licenses/by-nc-sa/4.0","note":"publisher: STAI Muhammadiyah Probolinggo","page":"424-436","source":"Crossref","title":"Strategi Pembelajaran Pendidikan Agama Islam Berbasis Gamifikasi Untuk Meningkatkan Motivasi Belajar Siswa","volume":"6","author":[{"family":"Safroni","given":"Sherli"},{"family":"Hidayah","given":"Ulil"}],"issued":{"date-parts":[["2024",5,5]]}}}],"schema":"https://github.com/citation-style-language/schema/raw/master/csl-citation.json"} </w:instrText>
      </w:r>
      <w:r w:rsidR="001B288C" w:rsidRPr="00125CD1">
        <w:fldChar w:fldCharType="separate"/>
      </w:r>
      <w:r w:rsidR="00125CD1" w:rsidRPr="00125CD1">
        <w:t>(Safroni &amp; Hidayah, 2024)</w:t>
      </w:r>
      <w:r w:rsidR="001B288C" w:rsidRPr="00125CD1">
        <w:fldChar w:fldCharType="end"/>
      </w:r>
      <w:r w:rsidRPr="00125CD1">
        <w:t>. Their research found that the use of digital platforms and gamified elements made lessons more interactive and engaging, leading to better student participation and improved learning outcomes. The ability to track progress through digital badges and leaderboards reinforced students' commitment to their educational journey, making religious studies not only more enjoyable but also more meaningful.</w:t>
      </w:r>
    </w:p>
    <w:p w14:paraId="6A4A5917" w14:textId="77777777" w:rsidR="00116D39" w:rsidRPr="00125CD1" w:rsidRDefault="00116D39" w:rsidP="003D7EA0">
      <w:pPr>
        <w:pStyle w:val="maintextFAITH"/>
      </w:pPr>
      <w:r w:rsidRPr="00125CD1">
        <w:t>The use of technology-enhanced learning tools, such as gamification, offers an effective solution to the problem of student disengagement in Islamic education. These tools provide students with a dynamic and interactive learning environment, which is particularly important in a subject like religious studies. By making the learning process enjoyable and rewarding, gamification helps students develop a deeper understanding of Islamic concepts while maintaining their interest and motivation throughout the course (Zainudin &amp; Huda, 2024). The psychological benefits, including the development of a growth mindset and positive emotional connections to learning, are well-documented in recent research (Arafah et al., 2024; Safroni &amp; Hidayah, 2024).</w:t>
      </w:r>
    </w:p>
    <w:p w14:paraId="4148BF17" w14:textId="2FB9AD49" w:rsidR="00116D39" w:rsidRPr="00125CD1" w:rsidRDefault="00116D39" w:rsidP="003D7EA0">
      <w:pPr>
        <w:pStyle w:val="maintextFAITH"/>
      </w:pPr>
      <w:r w:rsidRPr="00125CD1">
        <w:t>While the studies indicate a positive impact of gamification on student motivation in IRE, there are also challenges to consider. Teacher training and the availability of adequate technological infrastructure are identified as key factors influencing the success of gamified learning environments. Research by Zainudin and Huda underscores the need for professional development to help teachers effectively integrate gamification techniques into their classrooms</w:t>
      </w:r>
      <w:r w:rsidR="001B288C" w:rsidRPr="00125CD1">
        <w:t xml:space="preserve"> </w:t>
      </w:r>
      <w:r w:rsidR="001B288C" w:rsidRPr="00125CD1">
        <w:fldChar w:fldCharType="begin"/>
      </w:r>
      <w:r w:rsidR="00125CD1" w:rsidRPr="00125CD1">
        <w:instrText xml:space="preserve"> ADDIN ZOTERO_ITEM CSL_CITATION {"citationID":"sghWJ92l","properties":{"formattedCitation":"(Mohd Zainudin &amp; Huda, 2024b)","plainCitation":"(Mohd Zainudin &amp; Huda, 2024b)","noteIndex":0},"citationItems":[{"id":12963,"uris":["http://zotero.org/users/11041210/items/XEEPTB4D"],"itemData":{"id":12963,"type":"article-journal","abstract":"This study aims to empirically examine the effectiveness of gamification strategies in religious learning as well as identify the challenges and opportunities that exist in efforts to enrich the learning experience of students under the Dini Integrated Curriculum known as Kurikulum Bersepadu Dini (KBD). Through a comprehensive and detailed literature review, this study analyzes the use of innovative gamification elements such as artificial intelligence (AI), augmented reality (AR), and advanced multimedia support in increasing students' motivation and interest in learning religion in Arabic Language. The results of the study show that the integration of this technology with traditional gamification elements such as points, badges, and leaderboards can trigger deeper student engagement and improve learning effectiveness. Students show a higher interest in learning activities and the ability to understand and remember religious concepts more deeply and effectively. However, this study also identified several challenges in the implementation of gamification, including the urgent need for comprehensive training and professional development for teachers as well as the provision of sound technological infrastructure and technical support in schools. By providing practical guidance and detailed recommendations for teachers, this study aims to assist in the application of effective gamification techniques in religious teaching, particularly in the context of KBD. This study concludes that gamification, if applied with the right strategy, has great potential to enrich the religious learning experience and achieve comprehensive and holistic educational goals under KBD, further fostering a generation of more knowledgeable and highly motivated students. With this, it is hoped that religious teaching can become more dynamic, interesting and relevant to today's young generation, as well as fulfilling the aspirations of the National Education Philosophy, the Islamic Education Philosophy  and the Malaysian Education Development Plan.","container-title":"International Journal of Modern Education","DOI":"10.35631/ijmoe.623059","ISSN":"2637-0905","issue":"23","journalAbbreviation":"IJMOE","language":"en","note":"publisher: Global Academic Excellence (M) Sdn Bhd","page":"854-864","source":"Crossref","title":"Strategic Gamification For Religious Learning: An Empirical Literature Review","title-short":"STRATEGIC GAMIFICATION FOR RELIGIOUS LEARNING","volume":"6","author":[{"family":"Mohd Zainudin","given":"Nur ‘Atieqah"},{"family":"Huda","given":"Miftachul"}],"issued":{"date-parts":[["2024",12,31]]}}}],"schema":"https://github.com/citation-style-language/schema/raw/master/csl-citation.json"} </w:instrText>
      </w:r>
      <w:r w:rsidR="001B288C" w:rsidRPr="00125CD1">
        <w:fldChar w:fldCharType="separate"/>
      </w:r>
      <w:r w:rsidR="00125CD1" w:rsidRPr="00125CD1">
        <w:t>(Zainudin &amp; Huda, 2024b)</w:t>
      </w:r>
      <w:r w:rsidR="001B288C" w:rsidRPr="00125CD1">
        <w:fldChar w:fldCharType="end"/>
      </w:r>
      <w:r w:rsidRPr="00125CD1">
        <w:t>. The lack of technological resources and the time constraints many teachers face can limit the successful implementation of gamification, making it essential for schools to invest in both teacher training and the necessary infrastructure.</w:t>
      </w:r>
    </w:p>
    <w:p w14:paraId="54EA1181" w14:textId="3561682E" w:rsidR="00116D39" w:rsidRPr="00125CD1" w:rsidRDefault="00116D39" w:rsidP="003D7EA0">
      <w:pPr>
        <w:pStyle w:val="maintextFAITH"/>
      </w:pPr>
      <w:r w:rsidRPr="00125CD1">
        <w:t>The evidence suggests that gamification can have a transformative impact on student motivation in Islamic Religious Education. By integrating gamified elements such as points, badges, and challenges, educators can create a more engaging and interactive learning environment that fosters both intrinsic and extrinsic motivation. However, for gamification to be successful, it requires thoughtful planning, teacher training, and access to adequate technological resources. With the right strategies in place, gamification has the potential to revolutionize the teaching and learning of Islamic concepts, making them more accessible, enjoyable, and effective for students.</w:t>
      </w:r>
    </w:p>
    <w:p w14:paraId="32AE727B" w14:textId="77777777" w:rsidR="00116D39" w:rsidRPr="003D7EA0" w:rsidRDefault="00116D39" w:rsidP="003D7EA0">
      <w:pPr>
        <w:pStyle w:val="maintextFAITH"/>
        <w:ind w:firstLine="0"/>
        <w:rPr>
          <w:b/>
          <w:bCs/>
        </w:rPr>
      </w:pPr>
      <w:r w:rsidRPr="003D7EA0">
        <w:rPr>
          <w:b/>
          <w:bCs/>
        </w:rPr>
        <w:t>Emotional Engagement in Islamic Education</w:t>
      </w:r>
    </w:p>
    <w:p w14:paraId="696AB2BF" w14:textId="77777777" w:rsidR="00116D39" w:rsidRPr="00125CD1" w:rsidRDefault="00116D39" w:rsidP="003D7EA0">
      <w:pPr>
        <w:pStyle w:val="maintextFAITH"/>
      </w:pPr>
      <w:r w:rsidRPr="00125CD1">
        <w:t>Emotional engagement plays a vital role in effective learning, especially in Islamic Religious Education (IRE), where the aim is to instill profound values and beliefs that shape students' moral and spiritual development. Gamification, which incorporates game-like elements into the educational process, has proven to be highly effective in enhancing emotional engagement. Features such as storytelling, immersive scenarios, and personalized feedback create a more emotionally engaging learning experience. By connecting students emotionally to the material, gamification can make Islamic teachings more relevant and meaningful in their everyday lives. The emotional ties built through gamified learning help ensure that religious education goes beyond simple memorization, fostering a deeper, lasting connection to the content.</w:t>
      </w:r>
    </w:p>
    <w:p w14:paraId="3D582FF7" w14:textId="4FA19621" w:rsidR="00116D39" w:rsidRPr="00125CD1" w:rsidRDefault="00116D39" w:rsidP="003D7EA0">
      <w:pPr>
        <w:pStyle w:val="maintextFAITH"/>
      </w:pPr>
      <w:r w:rsidRPr="00125CD1">
        <w:t xml:space="preserve">A study </w:t>
      </w:r>
      <w:r w:rsidR="001B288C" w:rsidRPr="00125CD1">
        <w:t>Zourmpakins</w:t>
      </w:r>
      <w:r w:rsidRPr="00125CD1">
        <w:t xml:space="preserve"> found that students participating in gamified Islamic education activities showed increased emotional involvement</w:t>
      </w:r>
      <w:r w:rsidR="001B288C" w:rsidRPr="00125CD1">
        <w:t xml:space="preserve"> </w:t>
      </w:r>
      <w:r w:rsidR="001B288C" w:rsidRPr="00125CD1">
        <w:fldChar w:fldCharType="begin"/>
      </w:r>
      <w:r w:rsidR="00125CD1" w:rsidRPr="00125CD1">
        <w:instrText xml:space="preserve"> ADDIN ZOTERO_ITEM CSL_CITATION {"citationID":"NMkkOhf4","properties":{"formattedCitation":"(Zourmpakis dkk., 2023)","plainCitation":"(Zourmpakis dkk., 2023)","noteIndex":0},"citationItems":[{"id":12968,"uris":["http://zotero.org/users/11041210/items/K7BXTNP2"],"itemData":{"id":12968,"type":"article-journal","abstract":"In recent years, gamiﬁcation has captured the attention of researchers and educators, particularly in science education, where students often express negative emotions. Gamiﬁcation methods aim to motivate learners to participate in learning by incorporating intrinsic and extrinsic motivational factors. However, the effectiveness of gamiﬁcation has yielded varying outcomes, prompting researchers to explore adaptive gamiﬁcation as an alternative approach. Nevertheless, there needs to be more research on adaptive gamiﬁcation approaches, particularly concerning motivation, which is the primary objective of gamiﬁcation. In this study, we developed and tested an adaptive gamiﬁcation environment based on speciﬁc motivational and psychological frameworks. This environment incorporated adaptive criteria, learning strategies, gaming elements, and all crucial aspects of science education for six classes of third-grade students in primary school. We employed a quantitative approach to gain insights into the motivational impact on students and their perception of the adaptive gamiﬁcation application. We aimed to understand how each game element experienced by students inﬂuenced their motivation. Based on our ﬁndings, students were more motivated to learn science when using an adaptive gamiﬁcation environment. Additionally, the adaptation process was largely successful, as students generally liked the game elements integrated into their lessons, indicating the effectiveness of the multidimensional framework employed in enhancing students’ experiences and engagement.","container-title":"Computers","DOI":"10.3390/computers12070143","ISSN":"2073-431X","issue":"7","language":"en","license":"https://creativecommons.org/licenses/by/4.0/","note":"publisher: MDPI AG","page":"143","source":"Crossref","title":"Adaptive Gamification in Science Education: An Analysis of the Impact of Implementation and Adapted Game Elements on Students’ Motivation","title-short":"Adaptive Gamification in Science Education","volume":"12","author":[{"family":"Zourmpakis","given":"Alkinoos-Ioannis"},{"family":"Kalogiannakis","given":"Michail"},{"family":"Papadakis","given":"Stamatios"}],"issued":{"date-parts":[["2023",7,18]]}}}],"schema":"https://github.com/citation-style-language/schema/raw/master/csl-citation.json"} </w:instrText>
      </w:r>
      <w:r w:rsidR="001B288C" w:rsidRPr="00125CD1">
        <w:fldChar w:fldCharType="separate"/>
      </w:r>
      <w:r w:rsidR="00125CD1" w:rsidRPr="00125CD1">
        <w:t xml:space="preserve">(Zourmpakis </w:t>
      </w:r>
      <w:r w:rsidR="003D7EA0">
        <w:t>et al</w:t>
      </w:r>
      <w:r w:rsidR="00125CD1" w:rsidRPr="00125CD1">
        <w:t>., 2023)</w:t>
      </w:r>
      <w:r w:rsidR="001B288C" w:rsidRPr="00125CD1">
        <w:fldChar w:fldCharType="end"/>
      </w:r>
      <w:r w:rsidRPr="00125CD1">
        <w:t>. They felt a stronger connection to the subject matter, especially during role-playing activities that allowed them to take on the roles of historical Islamic figures or characters from Islamic stories</w:t>
      </w:r>
      <w:r w:rsidR="001B288C" w:rsidRPr="00125CD1">
        <w:t xml:space="preserve"> </w:t>
      </w:r>
      <w:r w:rsidR="001B288C" w:rsidRPr="00125CD1">
        <w:fldChar w:fldCharType="begin"/>
      </w:r>
      <w:r w:rsidR="00125CD1" w:rsidRPr="00125CD1">
        <w:instrText xml:space="preserve"> ADDIN ZOTERO_ITEM CSL_CITATION {"citationID":"LHecspTJ","properties":{"formattedCitation":"(Alimni dkk., 2022; Hendrik dkk., t.t.)","plainCitation":"(Alimni dkk., 2022; Hendrik dkk., t.t.)","noteIndex":0},"citationItems":[{"id":12960,"uris":["http://zotero.org/users/11041210/items/VZCKJCVD"],"itemData":{"id":12960,"type":"article-journal","abstract":"This research aimed to find out how the role of Islamic Education teachers in fostering students' emotional intelligence, especially in Bengkulu City Elementary Schools. This was mixed-method research using explanatory techniques. Instruments in this study included questionnaires and interviews, with the sample were teachers and elementary school students. The strategy used by Islamic Religious Education (Pendidikan agama Islam/PAI) teachers in order to improve emotional intelligence is to focus more on student activity and attitudes, as well as by carrying out activities such as regular recitations every Friday, evening prayers, reading dhikr, and fasting to improve students' spiritual intelligence. After inviting students to do positive things such as reading history books, stories and other books that can foster motivation, doing social service activities, inviting students to pray when a friend is sick or when someone dies, this is to foster empathy, and in the learning process, the teacher applies group learning strategies. Also, schools provide facilities and infrastructure for extracurricular activities such as drum bands, Banjari prayers, and khutbahs, to foster a sense of cooperation or develop relationships with other people.","container-title":"International Journal of Evaluation and Research in Education (IJERE)","DOI":"10.11591/ijere.v11i4.22116","ISSN":"2620-5440, 2252-8822","issue":"4","journalAbbreviation":"IJERE","language":"en","license":"http://creativecommons.org/licenses/by-nc/4.0","note":"publisher: Institute of Advanced Engineering and Science","page":"1881","source":"Crossref","title":"The role of Islamic education teachers in fostering students’ emotional intelligence","volume":"11","author":[{"family":"Alimni","given":"Alimni"},{"family":"Amin","given":"Alfauzan"},{"family":"Kurniawan","given":"Dwi Agus"}],"issued":{"date-parts":[["2022",12,1]]}}},{"id":7757,"uris":["http://zotero.org/users/11041210/items/8C2YP6JJ"],"itemData":{"id":7757,"type":"article-journal","abstract":"This study aims to (1) find out the process of internalizing the values of Islamic religious education through the role-playing method in learning aqidah morals and (2) the implementation of the role-playing method in learning aqidah morals. The research results in internalizing the values of Islamic religious education through role-playing in learning aqidah morals to increase moral values, namely adab and manners, have been carried out effectively. Four steps are carried out in internalization: transformation, transaction, transinternalization, and evaluation. The method used is role-playing; its application starts from making lesson plans following the quality of learning, forming groups, and distributing worksheets.","container-title":"Edukasi Islami: Jurnal Pendidikan Islam","DOI":"DOI: 10.30868/ei.v12i04.5101","issue":"4","language":"en","page":"2933-2948","source":"Zotero","title":"Internalization of Islamic Religious Educational Values Through Role Playing Methods In The Learning of Aqidah Akhlak","volume":"12","author":[{"family":"Hendrik","given":"Deny"},{"family":"Berlian","given":"Zainal Effendi"},{"family":"Idi","given":"Abdullah"}]}}],"schema":"https://github.com/citation-style-language/schema/raw/master/csl-citation.json"} </w:instrText>
      </w:r>
      <w:r w:rsidR="001B288C" w:rsidRPr="00125CD1">
        <w:fldChar w:fldCharType="separate"/>
      </w:r>
      <w:r w:rsidR="00125CD1" w:rsidRPr="00125CD1">
        <w:t xml:space="preserve">(Alimni </w:t>
      </w:r>
      <w:r w:rsidR="003D7EA0">
        <w:t>et al</w:t>
      </w:r>
      <w:r w:rsidR="00125CD1" w:rsidRPr="00125CD1">
        <w:t xml:space="preserve">., 2022; Hendrik </w:t>
      </w:r>
      <w:r w:rsidR="003D7EA0">
        <w:t>et al</w:t>
      </w:r>
      <w:r w:rsidR="00125CD1" w:rsidRPr="00125CD1">
        <w:t>., t.t.)</w:t>
      </w:r>
      <w:r w:rsidR="001B288C" w:rsidRPr="00125CD1">
        <w:fldChar w:fldCharType="end"/>
      </w:r>
      <w:r w:rsidRPr="00125CD1">
        <w:t xml:space="preserve">. Engaging students emotionally by immersing them in scenarios linked to Islamic history and values helped deepen their understanding and personal </w:t>
      </w:r>
      <w:r w:rsidRPr="00125CD1">
        <w:lastRenderedPageBreak/>
        <w:t>connection to the material</w:t>
      </w:r>
      <w:r w:rsidR="001B288C" w:rsidRPr="00125CD1">
        <w:t xml:space="preserve"> </w:t>
      </w:r>
      <w:r w:rsidR="001B288C" w:rsidRPr="00125CD1">
        <w:fldChar w:fldCharType="begin"/>
      </w:r>
      <w:r w:rsidR="00125CD1" w:rsidRPr="00125CD1">
        <w:instrText xml:space="preserve"> ADDIN ZOTERO_ITEM CSL_CITATION {"citationID":"0Logmsnm","properties":{"formattedCitation":"(Atkins dkk., 2023)","plainCitation":"(Atkins dkk., 2023)","noteIndex":0},"citationItems":[{"id":13309,"uris":["http://zotero.org/users/11041210/items/5IBKG23P"],"itemData":{"id":13309,"type":"article-journal","abstract":"A central component of adolescents’ social and emotional learning (SEL) consists of their ability to foster positive relationship skills through connectedness with their school community. This study focuses on the assessment of student’s SEL competencies in relation to their socio-demographic characteristics, formal and informal socialization behaviors, and academic outcomes in both public and private schools. The research is based on the secondary analysis of large-scale nationally representative data from the High School Longitudinal Study of 2009 (HSLS:2009) and focuses on ninth graders experiencing the transition to secondary education. Guided by both SEL and school climate frameworks, we identified survey items that describe students’ feelings of acceptance, pride, and support in their grade nine learning environment as indicators of perceptions of school climate and builders of SEL skills and used multivariate statistical analysis to examine how SEL skills and behavioral socialization affect school achievement. Study findings should inform school practitioners in developing academic and socio-cultural programs that incorporate SEL skills development.","container-title":"Journal of Intelligence","DOI":"10.3390/jintelligence11090185","ISSN":"2079-3200","issue":"9","title":"Social and Emotional Learning and Ninth-Grade Students’ Academic Achievement","volume":"11","author":[{"family":"Atkins","given":"Jessica L."},{"family":"Vega-Uriostegui","given":"Teresa"},{"family":"Norwood","given":"Daniel"},{"family":"Adamuti-Trache","given":"Maria"}],"issued":{"date-parts":[["2023"]]}}}],"schema":"https://github.com/citation-style-language/schema/raw/master/csl-citation.json"} </w:instrText>
      </w:r>
      <w:r w:rsidR="001B288C" w:rsidRPr="00125CD1">
        <w:fldChar w:fldCharType="separate"/>
      </w:r>
      <w:r w:rsidR="00125CD1" w:rsidRPr="00125CD1">
        <w:t xml:space="preserve">(Atkins </w:t>
      </w:r>
      <w:r w:rsidR="003D7EA0">
        <w:t>et al</w:t>
      </w:r>
      <w:r w:rsidR="00125CD1" w:rsidRPr="00125CD1">
        <w:t>., 2023)</w:t>
      </w:r>
      <w:r w:rsidR="001B288C" w:rsidRPr="00125CD1">
        <w:fldChar w:fldCharType="end"/>
      </w:r>
      <w:r w:rsidRPr="00125CD1">
        <w:t xml:space="preserve">. The use of storytelling and character-driven quests in the gamified environment created a space where students could explore and emotionally invest in Islamic teachings. This approach was supported by Safroni </w:t>
      </w:r>
      <w:r w:rsidR="003D7EA0">
        <w:t>&amp;</w:t>
      </w:r>
      <w:r w:rsidRPr="00125CD1">
        <w:t xml:space="preserve"> Hidayah, who observed that students felt more connected to the Islamic values being taught through gamified elements like interactive challenges and rewards</w:t>
      </w:r>
      <w:r w:rsidR="001B288C" w:rsidRPr="00125CD1">
        <w:t xml:space="preserve"> </w:t>
      </w:r>
      <w:r w:rsidR="001B288C" w:rsidRPr="00125CD1">
        <w:fldChar w:fldCharType="begin"/>
      </w:r>
      <w:r w:rsidR="00125CD1" w:rsidRPr="00125CD1">
        <w:instrText xml:space="preserve"> ADDIN ZOTERO_ITEM CSL_CITATION {"citationID":"LCN2U9hk","properties":{"formattedCitation":"(Safroni &amp; Hidayah, 2024)","plainCitation":"(Safroni &amp; Hidayah, 2024)","noteIndex":0},"citationItems":[{"id":12962,"uris":["http://zotero.org/users/11041210/items/LA9452Y3"],"itemData":{"id":12962,"type":"article-journal","abstract":"Learning activities cannot be separated from the role of the teacher. The teacher's task is to manage learning in the classroom and use various methods to achieve the learning objectives that have been set. This cannot be separated from the learning model/method used. The aim of this research is to describe the supporting, inhibiting and supporting factors for assessing gamification learning models in Islamic religious education regarding the emotional aspects of students at Madrasah Ibtidaiyah Al-kholili, Probolinggo City. This research uses field research with a qualitative approach. The method used is descriptive research. The subjects of this research were curriculum directors, PAI teachers, and student representatives. Data collection techniques use observation, interviews and documentation. Based on the research results, it can be concluded that the evaluation of the gamification learning model of Islamic religious education on the emotional aspects of students at Al-kholili Islamic Middle School, Probolinggo City can increase student interest and motivation. it has been proven that you can. Children respond to learning, how to complete the tasks given, how to pay attention to the material presented, and the availability of several supporting factors, namely Wi-Fi, depending on possibilities, student interest, teacher motivation and available focus. Children need time to adjust due to inhibiting factors in the form of media and time constraints.","container-title":"AL-MUADDIB: Jurnal Kajian Ilmu Kependidikan","DOI":"10.46773/muaddib.v6i1.1131","ISSN":"2685-9149, 2723-0805","issue":"1","journalAbbreviation":"AL-MUADDIB: J. Kaj. Il. Kepend.","language":"id","license":"https://creativecommons.org/licenses/by-nc-sa/4.0","note":"publisher: STAI Muhammadiyah Probolinggo","page":"424-436","source":"Crossref","title":"Strategi Pembelajaran Pendidikan Agama Islam Berbasis Gamifikasi Untuk Meningkatkan Motivasi Belajar Siswa","volume":"6","author":[{"family":"Safroni","given":"Sherli"},{"family":"Hidayah","given":"Ulil"}],"issued":{"date-parts":[["2024",5,5]]}}}],"schema":"https://github.com/citation-style-language/schema/raw/master/csl-citation.json"} </w:instrText>
      </w:r>
      <w:r w:rsidR="001B288C" w:rsidRPr="00125CD1">
        <w:fldChar w:fldCharType="separate"/>
      </w:r>
      <w:r w:rsidR="00125CD1" w:rsidRPr="00125CD1">
        <w:t>(Safroni &amp; Hidayah, 2024)</w:t>
      </w:r>
      <w:r w:rsidR="001B288C" w:rsidRPr="00125CD1">
        <w:fldChar w:fldCharType="end"/>
      </w:r>
      <w:r w:rsidRPr="00125CD1">
        <w:t>.</w:t>
      </w:r>
    </w:p>
    <w:p w14:paraId="371258D4" w14:textId="14AFC49D" w:rsidR="00116D39" w:rsidRPr="00125CD1" w:rsidRDefault="00116D39" w:rsidP="003D7EA0">
      <w:pPr>
        <w:pStyle w:val="maintextFAITH"/>
      </w:pPr>
      <w:r w:rsidRPr="00125CD1">
        <w:t>Gamification’s potential to enhance emotional engagement is particularly evident in multicultural or multiethnic educational settings, which are common in many Islamic schools. A study by Fawaid Kholil examined how culturally responsive gamification could enhance self-engagement in Islamic education for multiethnic students</w:t>
      </w:r>
      <w:r w:rsidR="001B288C" w:rsidRPr="00125CD1">
        <w:t xml:space="preserve"> </w:t>
      </w:r>
      <w:r w:rsidR="001B288C" w:rsidRPr="00125CD1">
        <w:fldChar w:fldCharType="begin"/>
      </w:r>
      <w:r w:rsidR="00125CD1" w:rsidRPr="00125CD1">
        <w:instrText xml:space="preserve"> ADDIN ZOTERO_ITEM CSL_CITATION {"citationID":"iUnrEHzm","properties":{"formattedCitation":"(Fawaid dkk., 2024)","plainCitation":"(Fawaid dkk., 2024)","noteIndex":0},"citationItems":[{"id":12959,"uris":["http://zotero.org/users/11041210/items/R8DK7BVK"],"itemData":{"id":12959,"type":"article-journal","abstract":"The cultural-friendly learning environment is considered as an important factor influencing on the students’ self-engagement and become a central challenge that teachers in Islamic educational settings commonly deal with. This study aims to analyze the implementation of an gamified activity for creating a multicultural-situated learning and improving multiethnic students’ self-engagement in Islamic education. A total of 80 sixth graders with various backgrounds from two classes participated in this research. The one class was purposively assigned to the experimental group (N = 40) using the Peacegen gamified platform in learning tolerance, and the other class was the control group (N = 40) using traditional instruction. This study found that, compared to the traditional instruction, the culturally-responsive gamification more effectively helped multiethnic students’ selfengagement in learning tolerance in Bahasa Indonesia subject. Particularly, they had positive feedbacks on the learning process after the culturally-responsive gamification. This result suggests that a culturally-responsive gamification can provide a simulated learning environment that assists teachers to improve the multiethnic students’ self-engagement in Islamic education and subsequently facilitate their deep-learning of tolerance.","container-title":"Al-Fikru: Jurnal Pendidikan Dan Sains","DOI":"10.55210/al-fikru.v5i2.1868","ISSN":"2774-5627, 2747-1349","issue":"2","journalAbbreviation":"al-fikru","language":"en","license":"https://creativecommons.org/licenses/by/4.0","note":"publisher: Institut Ilmu Keislaman Zainul Hasan Genggong","page":"267-275","source":"Crossref","title":"The role of culturally-responsive gamification to improve multiethnic students’ self-engagement in Islamic education","volume":"5","author":[{"family":"Fawaid","given":"Achmad"},{"family":"Kholil","given":"Muhammad"},{"family":"Dewi","given":"Ninda Ayu Rosida"}],"issued":{"date-parts":[["2024",12,31]]}}}],"schema":"https://github.com/citation-style-language/schema/raw/master/csl-citation.json"} </w:instrText>
      </w:r>
      <w:r w:rsidR="001B288C" w:rsidRPr="00125CD1">
        <w:fldChar w:fldCharType="separate"/>
      </w:r>
      <w:r w:rsidR="00125CD1" w:rsidRPr="00125CD1">
        <w:t xml:space="preserve">(Fawaid </w:t>
      </w:r>
      <w:r w:rsidR="003D7EA0">
        <w:t>et al</w:t>
      </w:r>
      <w:r w:rsidR="00125CD1" w:rsidRPr="00125CD1">
        <w:t>., 2024)</w:t>
      </w:r>
      <w:r w:rsidR="001B288C" w:rsidRPr="00125CD1">
        <w:fldChar w:fldCharType="end"/>
      </w:r>
      <w:r w:rsidRPr="00125CD1">
        <w:t>. The research found that gamified platforms, tailored to diverse cultural backgrounds, created stronger emotional connections by making the content more relatable. By incorporating culturally relevant themes and narratives into gamified activities, educators can foster empathy, understanding, and emotional connections</w:t>
      </w:r>
      <w:r w:rsidR="003D7EA0">
        <w:t xml:space="preserve"> </w:t>
      </w:r>
      <w:r w:rsidRPr="00125CD1">
        <w:t>key components of Islamic moral education. In this way, gamification doesn’t just improve academic learning but also builds emotional intelligence and social cohesion among students from diverse cultural backgrounds</w:t>
      </w:r>
      <w:r w:rsidR="001B288C" w:rsidRPr="00125CD1">
        <w:t xml:space="preserve"> </w:t>
      </w:r>
      <w:r w:rsidR="001B288C" w:rsidRPr="00125CD1">
        <w:fldChar w:fldCharType="begin"/>
      </w:r>
      <w:r w:rsidR="00125CD1" w:rsidRPr="00125CD1">
        <w:instrText xml:space="preserve"> ADDIN ZOTERO_ITEM CSL_CITATION {"citationID":"ZFgs1qHl","properties":{"formattedCitation":"(Byker, 2019; Roach Anleu dkk., 2016)","plainCitation":"(Byker, 2019; Roach Anleu dkk., 2016)","noteIndex":0},"citationItems":[{"id":4914,"uris":["http://zotero.org/users/11041210/items/QPL538MZ"],"itemData":{"id":4914,"type":"article-journal","abstract":"Observation is an important component of research to examine complex social settings and is well-established for studying courtroom dynamics and judicial behaviour. However, the many activities occurring at once and the multiple participants, lay and professional, make it impossible for a sole researcher to observe and understand everything occurring in the courtroom. This article reports on the use of two researchers to undertake court observations, in two different studies, each nested in a different research design. The social nature of data collection and the value of dialogue between the two researchers in interpreting observed events, especially when studying emotion, are readily apparent in both studies.","container-title":"Qualitative Research","DOI":"10.1177/1468794115579475","issue":"4","page":"375-391","title":"Observing judicial work and emotions: using two researchers","volume":"16","author":[{"family":"Roach Anleu","given":"Sharyn"},{"family":"Bergman Blix","given":"Stina"},{"family":"Mack","given":"Kathy"},{"family":"Wettergren","given":"Åsa"}],"issued":{"date-parts":[["2016"]]}}},{"id":2156,"uris":["http://zotero.org/users/11041210/items/7RQDSQCE"],"itemData":{"id":2156,"type":"article-journal","container-title":"Journal of Research in Innovative Teaching and Learning","DOI":"10.1108/JRIT-02-2019-0023","ISSN":"2397-7604","issue":"2","page":"183-194","title":"Study abroad as social and emotional learning: Framing international teaching with critical cosmopolitan theory","volume":"12","author":[{"family":"Byker","given":"E.J."}],"issued":{"date-parts":[["2019"]]}}}],"schema":"https://github.com/citation-style-language/schema/raw/master/csl-citation.json"} </w:instrText>
      </w:r>
      <w:r w:rsidR="001B288C" w:rsidRPr="00125CD1">
        <w:fldChar w:fldCharType="separate"/>
      </w:r>
      <w:r w:rsidR="00125CD1" w:rsidRPr="00125CD1">
        <w:t xml:space="preserve">(Byker, 2019; Anleu </w:t>
      </w:r>
      <w:r w:rsidR="003D7EA0">
        <w:t>et al</w:t>
      </w:r>
      <w:r w:rsidR="00125CD1" w:rsidRPr="00125CD1">
        <w:t>., 2016)</w:t>
      </w:r>
      <w:r w:rsidR="001B288C" w:rsidRPr="00125CD1">
        <w:fldChar w:fldCharType="end"/>
      </w:r>
      <w:r w:rsidRPr="00125CD1">
        <w:t>.</w:t>
      </w:r>
    </w:p>
    <w:p w14:paraId="55E67E47" w14:textId="5FAF4CCB" w:rsidR="00116D39" w:rsidRPr="00125CD1" w:rsidRDefault="00116D39" w:rsidP="003D7EA0">
      <w:pPr>
        <w:pStyle w:val="maintextFAITH"/>
      </w:pPr>
      <w:r w:rsidRPr="00125CD1">
        <w:t>The integration of emotional intelligence (EI) into Islamic education highlights the importance of emotional engagement. EI, which includes self-awareness, self-regulation, empathy, and social skills, is essential in religious education, where character development is a central goal. A study by Sofiani et al. explored how emotional intelligence can be nurtured through Islamic education methods</w:t>
      </w:r>
      <w:r w:rsidR="001B288C" w:rsidRPr="00125CD1">
        <w:t xml:space="preserve"> </w:t>
      </w:r>
      <w:r w:rsidR="001B288C" w:rsidRPr="00125CD1">
        <w:fldChar w:fldCharType="begin"/>
      </w:r>
      <w:r w:rsidR="00125CD1" w:rsidRPr="00125CD1">
        <w:instrText xml:space="preserve"> ADDIN ZOTERO_ITEM CSL_CITATION {"citationID":"givDy3xD","properties":{"formattedCitation":"(Sofiani dkk., 2024)","plainCitation":"(Sofiani dkk., 2024)","noteIndex":0},"citationItems":[{"id":12958,"uris":["http://zotero.org/users/11041210/items/ITUF5Z9C"],"itemData":{"id":12958,"type":"article-journal","abstract":"Islamic education plays an important role in developing the emotional intelligence of students. The concept of emotional intelligence in Islam is closely related to moral formation and the refinement of ethics. The Qur'an and Sunnah as the main sources of Islamic teachings offer a complete guide to building emotional intelligence which includes the ability to recognize one's emotions, manage emotions, motivate oneself, empathize, and foster good social relationships. Moral education in Islam aims to produce human beings who are not only intellectually intelligent, but also have high emotional and spiritual intelligence. The holistic approach in Islamic education integrates spiritual, intellectual, and physical formation so that learners grow into balanced and dignified individuals. Educational methods such as example, habituation, advice, and educative punishment are systematic efforts to shape the positive character and emotional intelligence of learners. This study explores the concept of emotional intelligence in the treasures of Islamic thought, analyzes the principles of Islamic education related to the development of emotional intelligence, and describes strategies and methods that can be implemented in the educational process to build emotional intelligence of students effectively and sustainably.","container-title":"International Journal of Innovative Research in Multidisciplinary Education","DOI":"10.58806/ijirme.2024.v3i5n26","ISSN":"2833-4515, 2833-4531","issue":"05","journalAbbreviation":"Ijirme","language":"en","note":"publisher: IJSSHMR Publication","source":"Crossref","title":"Islamic Educational Thought in Building Students' Emotional Intelligence","URL":"https://ijirme.com/v3i5/26.php","volume":"03","author":[{"family":"Sofiani","given":"Ika Kurnia"},{"family":"Nabila","given":"Nabila"},{"literal":"Department of Tarbiyah Dan Keguruan. STAIN BENGKALIS"},{"family":"Neviani","given":"Neviani"},{"literal":"Department of Tarbiyah Dan Keguruan. STAIN BENGKALIS"},{"family":"Syalini","given":"Selly"},{"literal":"Department of Tarbiyah Dan Keguruan. STAIN BENGKALIS"}],"accessed":{"date-parts":[["2025",7,25]]},"issued":{"date-parts":[["2024",5,30]]}}}],"schema":"https://github.com/citation-style-language/schema/raw/master/csl-citation.json"} </w:instrText>
      </w:r>
      <w:r w:rsidR="001B288C" w:rsidRPr="00125CD1">
        <w:fldChar w:fldCharType="separate"/>
      </w:r>
      <w:r w:rsidR="00125CD1" w:rsidRPr="00125CD1">
        <w:t xml:space="preserve">(Sofiani </w:t>
      </w:r>
      <w:r w:rsidR="003D7EA0">
        <w:t>et al</w:t>
      </w:r>
      <w:r w:rsidR="00125CD1" w:rsidRPr="00125CD1">
        <w:t>., 2024)</w:t>
      </w:r>
      <w:r w:rsidR="001B288C" w:rsidRPr="00125CD1">
        <w:fldChar w:fldCharType="end"/>
      </w:r>
      <w:r w:rsidRPr="00125CD1">
        <w:t>. By incorporating EI development into the curriculum, educators can enhance students' emotional engagement with the subject matter, their peers, and the broader community. The study found that emotional intelligence fostered a more harmonious learning environment, where students felt more connected to each other and the values being taught. This approach aligns with Islamic educational principles that emphasize moral and spiritual development as integral to learning.</w:t>
      </w:r>
    </w:p>
    <w:p w14:paraId="06874BA7" w14:textId="67839666" w:rsidR="00116D39" w:rsidRPr="00125CD1" w:rsidRDefault="00116D39" w:rsidP="003D7EA0">
      <w:pPr>
        <w:pStyle w:val="maintextFAITH"/>
      </w:pPr>
      <w:r w:rsidRPr="00125CD1">
        <w:t>In addition to fostering emotional engagement, gamification also encourages students to actively participate in their own learning. By tapping into intrinsic motivation through game mechanics like challenges and rewards, students develop a stronger emotional investment in their studies. This is particularly important in Islamic education, where the goal isn’t just academic achievement but the internalization of moral and spiritual values. Research by Alimni et al. showed that emotional engagement through gamified activities like group learning and prayer rituals improved students' social relationships, empathy, and compassion</w:t>
      </w:r>
      <w:r w:rsidR="003D7EA0">
        <w:t xml:space="preserve"> </w:t>
      </w:r>
      <w:r w:rsidRPr="00125CD1">
        <w:t>qualities central to Islamic teachings</w:t>
      </w:r>
      <w:r w:rsidR="00913910" w:rsidRPr="00125CD1">
        <w:t xml:space="preserve"> </w:t>
      </w:r>
      <w:r w:rsidR="00913910" w:rsidRPr="00125CD1">
        <w:fldChar w:fldCharType="begin"/>
      </w:r>
      <w:r w:rsidR="00125CD1" w:rsidRPr="00125CD1">
        <w:instrText xml:space="preserve"> ADDIN ZOTERO_ITEM CSL_CITATION {"citationID":"xkj5KR3K","properties":{"formattedCitation":"(Alimni dkk., 2022)","plainCitation":"(Alimni dkk., 2022)","noteIndex":0},"citationItems":[{"id":12960,"uris":["http://zotero.org/users/11041210/items/VZCKJCVD"],"itemData":{"id":12960,"type":"article-journal","abstract":"This research aimed to find out how the role of Islamic Education teachers in fostering students' emotional intelligence, especially in Bengkulu City Elementary Schools. This was mixed-method research using explanatory techniques. Instruments in this study included questionnaires and interviews, with the sample were teachers and elementary school students. The strategy used by Islamic Religious Education (Pendidikan agama Islam/PAI) teachers in order to improve emotional intelligence is to focus more on student activity and attitudes, as well as by carrying out activities such as regular recitations every Friday, evening prayers, reading dhikr, and fasting to improve students' spiritual intelligence. After inviting students to do positive things such as reading history books, stories and other books that can foster motivation, doing social service activities, inviting students to pray when a friend is sick or when someone dies, this is to foster empathy, and in the learning process, the teacher applies group learning strategies. Also, schools provide facilities and infrastructure for extracurricular activities such as drum bands, Banjari prayers, and khutbahs, to foster a sense of cooperation or develop relationships with other people.","container-title":"International Journal of Evaluation and Research in Education (IJERE)","DOI":"10.11591/ijere.v11i4.22116","ISSN":"2620-5440, 2252-8822","issue":"4","journalAbbreviation":"IJERE","language":"en","license":"http://creativecommons.org/licenses/by-nc/4.0","note":"publisher: Institute of Advanced Engineering and Science","page":"1881","source":"Crossref","title":"The role of Islamic education teachers in fostering students’ emotional intelligence","volume":"11","author":[{"family":"Alimni","given":"Alimni"},{"family":"Amin","given":"Alfauzan"},{"family":"Kurniawan","given":"Dwi Agus"}],"issued":{"date-parts":[["2022",12,1]]}}}],"schema":"https://github.com/citation-style-language/schema/raw/master/csl-citation.json"} </w:instrText>
      </w:r>
      <w:r w:rsidR="00913910" w:rsidRPr="00125CD1">
        <w:fldChar w:fldCharType="separate"/>
      </w:r>
      <w:r w:rsidR="00125CD1" w:rsidRPr="00125CD1">
        <w:t xml:space="preserve">(Alimni </w:t>
      </w:r>
      <w:r w:rsidR="003D7EA0">
        <w:t>et al</w:t>
      </w:r>
      <w:r w:rsidR="00125CD1" w:rsidRPr="00125CD1">
        <w:t>., 2022)</w:t>
      </w:r>
      <w:r w:rsidR="00913910" w:rsidRPr="00125CD1">
        <w:fldChar w:fldCharType="end"/>
      </w:r>
      <w:r w:rsidRPr="00125CD1">
        <w:t>.</w:t>
      </w:r>
    </w:p>
    <w:p w14:paraId="3F3DBBCB" w14:textId="77777777" w:rsidR="003D7EA0" w:rsidRDefault="00116D39" w:rsidP="003D7EA0">
      <w:pPr>
        <w:pStyle w:val="maintextFAITH"/>
      </w:pPr>
      <w:r w:rsidRPr="00125CD1">
        <w:t>Emotional engagement through gamification in Islamic education not only deepens students' connection to the material but also promotes emotional intelligence and social responsibility. The combination of game mechanics and Islamic values creates a dynamic and emotionally enriching learning environment that supports both intellectual and moral growth. As the research suggests, integrating gamification into IRE classrooms could revolutionize how students connect with Islamic teachings, making the learning experience more meaningful, enjoyable, and deeply engaging.</w:t>
      </w:r>
    </w:p>
    <w:p w14:paraId="5B13A375" w14:textId="581F2E3D" w:rsidR="00116D39" w:rsidRPr="003D7EA0" w:rsidRDefault="00116D39" w:rsidP="003D7EA0">
      <w:pPr>
        <w:pStyle w:val="maintextFAITH"/>
        <w:ind w:firstLine="0"/>
        <w:rPr>
          <w:b/>
        </w:rPr>
      </w:pPr>
      <w:r w:rsidRPr="003D7EA0">
        <w:rPr>
          <w:rFonts w:cstheme="majorBidi"/>
          <w:b/>
        </w:rPr>
        <w:t>Learning Psychology and Cognitive Benefits</w:t>
      </w:r>
    </w:p>
    <w:p w14:paraId="1B72B871" w14:textId="043FD2BF" w:rsidR="00116D39" w:rsidRPr="00125CD1" w:rsidRDefault="00116D39" w:rsidP="003D7EA0">
      <w:pPr>
        <w:pStyle w:val="maintextFAITH"/>
      </w:pPr>
      <w:r w:rsidRPr="00125CD1">
        <w:t>Gamification has been shown to positively impact the learning psychology of students, particularly by promoting active learning and boosting cognitive development. Active learning plays a crucial role in fostering critical thinking, problem-solving skills, and higher-order thinking</w:t>
      </w:r>
      <w:r w:rsidR="003D7EA0">
        <w:t xml:space="preserve"> </w:t>
      </w:r>
      <w:r w:rsidRPr="00125CD1">
        <w:t>skills essential for the well-rounded growth of students</w:t>
      </w:r>
      <w:r w:rsidR="00913910" w:rsidRPr="00125CD1">
        <w:t xml:space="preserve"> </w:t>
      </w:r>
      <w:r w:rsidR="00913910" w:rsidRPr="00125CD1">
        <w:fldChar w:fldCharType="begin"/>
      </w:r>
      <w:r w:rsidR="00125CD1" w:rsidRPr="00125CD1">
        <w:instrText xml:space="preserve"> ADDIN ZOTERO_ITEM CSL_CITATION {"citationID":"snKw20Q9","properties":{"formattedCitation":"(Fauzian, 2019)","plainCitation":"(Fauzian, 2019)","noteIndex":0},"citationItems":[{"id":11465,"uris":["http://zotero.org/users/11041210/items/N589M967"],"itemData":{"id":11465,"type":"book","event-place":"Sukabumi","publisher":"Farha Pustaka","publisher-place":"Sukabumi","title":"Pengantar Pendidikan Agama Islam untuk Perguruan Tinggi Umum","author":[{"family":"Fauzian","given":"Rinda"}],"issued":{"date-parts":[["2019"]]}}}],"schema":"https://github.com/citation-style-language/schema/raw/master/csl-citation.json"} </w:instrText>
      </w:r>
      <w:r w:rsidR="00913910" w:rsidRPr="00125CD1">
        <w:fldChar w:fldCharType="separate"/>
      </w:r>
      <w:r w:rsidR="00125CD1" w:rsidRPr="00125CD1">
        <w:t>(Fauzian, 2019)</w:t>
      </w:r>
      <w:r w:rsidR="00913910" w:rsidRPr="00125CD1">
        <w:fldChar w:fldCharType="end"/>
      </w:r>
      <w:r w:rsidRPr="00125CD1">
        <w:t>. By involving students in tasks that require them to engage directly with the content, gamified environments encourage them to take ownership of their learning. This leads to deeper cognitive engagement and better retention</w:t>
      </w:r>
      <w:r w:rsidR="00913910" w:rsidRPr="00125CD1">
        <w:t xml:space="preserve"> </w:t>
      </w:r>
      <w:r w:rsidR="00913910" w:rsidRPr="00125CD1">
        <w:fldChar w:fldCharType="begin"/>
      </w:r>
      <w:r w:rsidR="00125CD1" w:rsidRPr="00125CD1">
        <w:instrText xml:space="preserve"> ADDIN ZOTERO_ITEM CSL_CITATION {"citationID":"06fPqFD6","properties":{"formattedCitation":"(Zandniapour &amp; Deterding, 2018)","plainCitation":"(Zandniapour &amp; Deterding, 2018)","noteIndex":0},"citationItems":[{"id":4948,"uris":["http://zotero.org/users/11041210/items/P2UIR7NP"],"itemData":{"id":4948,"type":"article-journal","abstract":"Tiered evidence initiatives are an important federal strategy to incentivize and accelerate the use of rigorous evidence in planning, implementing, and assessing social service investments. The Social Innovation Fund (SIF), a program of the Corporation for National and Community Service, adopted a public–private partnership approach to tiered evidence. What was learned from implementing this ambitious program? How can large funding initiatives promote evaluation capacity in smaller organizations and evidence building in a sector broadly, increasing knowledge about how to address important social problems? And what can evaluators and evaluation technical assistance providers not working within a tiered evidence framework learn from the SIF? We provide an overview of the SIF model and describe how the fund operationalized “evidence building.” Materials developed to support SIF grantees represent practical, best practice strategies for successfully completing rigorous, relevant evaluations. Key lessons from overseeing over 130 evaluations—and their utility for other local evaluators—are discussed.","container-title":"American Journal of Evaluation","DOI":"10.1177/1098214017734305","issue":"1","page":"27-41","title":"Lessons From the Social Innovation Fund: Supporting Evaluation to Assess Program Effectiveness and Build a Body of Research Evidence","volume":"39","author":[{"family":"Zandniapour","given":"Lily"},{"family":"Deterding","given":"Nicole M."}],"issued":{"date-parts":[["2018"]]}}}],"schema":"https://github.com/citation-style-language/schema/raw/master/csl-citation.json"} </w:instrText>
      </w:r>
      <w:r w:rsidR="00913910" w:rsidRPr="00125CD1">
        <w:fldChar w:fldCharType="separate"/>
      </w:r>
      <w:r w:rsidR="00125CD1" w:rsidRPr="00125CD1">
        <w:t>(Zandniapour &amp; Deterding, 2018)</w:t>
      </w:r>
      <w:r w:rsidR="00913910" w:rsidRPr="00125CD1">
        <w:fldChar w:fldCharType="end"/>
      </w:r>
      <w:r w:rsidRPr="00125CD1">
        <w:t xml:space="preserve">. Furthermore, gamified elements like interactive quizzes, badges, and progress tracking offer instant feedback, reinforcing learning and supporting metacognitive awareness </w:t>
      </w:r>
      <w:r w:rsidR="00913910" w:rsidRPr="00125CD1">
        <w:fldChar w:fldCharType="begin"/>
      </w:r>
      <w:r w:rsidR="00125CD1" w:rsidRPr="00125CD1">
        <w:instrText xml:space="preserve"> ADDIN ZOTERO_ITEM CSL_CITATION {"citationID":"8mZEN1ll","properties":{"formattedCitation":"(Dwijayanti dkk., 2022; Syaban Abdul Karim, 2024)","plainCitation":"(Dwijayanti dkk., 2022; Syaban Abdul Karim, 2024)","noteIndex":0},"citationItems":[{"id":6909,"uris":["http://zotero.org/users/11041210/items/8L3DQYL4"],"itemData":{"id":6909,"type":"article-journal","abstract":"… awareness terhadap kinerja guru, pengaruh komitmen organisasional terhadap kinerja guru, … hubungan antara self awareness terhadap kinerja guru, serta pengaruh pendidikan dan …","container-title":"SIBATIK JOURNAL …","issue":"Query date: 2023-12-18 09:34:25","note":"publisher: publish.ojs-indonesia.com","title":"Pengaruh Self Awareness dan Komitmen Organisasional terhadap Kinerja Guru SMP dengan Variabel Moderasi Pendidikan dan Pelatihan di Kecamatan Prambanan …","URL":"https://www.publish.ojs-indonesia.com/index.php/SIBATIK/article/view/504","author":[{"family":"Dwijayanti","given":"F"},{"family":"Mardiana","given":"T"},{"literal":"..."}],"issued":{"date-parts":[["2022"]]}}},{"id":12805,"uris":["http://zotero.org/users/11041210/items/GCXV4PD6"],"itemData":{"id":12805,"type":"article-journal","abstract":"&amp;lt;p&amp;gt;&amp;lt;em&amp;gt;In a post-truth era marked by disinformation and mistrust of facts, it is important to consider the role of Islamic education and global ethics in building a humanistic awareness. Both have the potential to be drivers in overcoming the growing crisis of confidence and social polarization. This research explores the relationship between Islamic education and global ethics in the context of strengthening humanistic awareness. Through analysis of literature and case studies, the study highlights the importance of integrating humanist values, such as tolerance, justice, and empathy, into the curriculum of Islamic education. Moreover, a critical and reflective approach to disinformation as well as an emphasis on cross-cultural and religious understanding in a global ethical context are also identified as key factors in promoting humanistic awareness. The results of this research offer new insights into how global Islamic education and ethics can work together to produce individuals who are more aware of human values in the face of the challenges of the post-truth era. In conclusion, close collaboration between Islamic education and global ethics can help build a strong foundation of humanistic consciousness for a more inclusive and harmonious society in the future.&amp;lt;/em&amp;gt;&amp;lt;/p&amp;gt;","container-title":"Spiritus: Religious Studies and Education Journal","DOI":"10.59923/spiritus.v2i2.130","issue":"2","journalAbbreviation":"spiritus","note":"section: Articles","page":"57-69","title":"The Relationship between Islamic Education and Global Ethics in Building Humanistic Awareness in the Post Truth Era","volume":"2","author":[{"literal":"Syaban Abdul Karim"}],"issued":{"date-parts":[["2024",6,20]]}}}],"schema":"https://github.com/citation-style-language/schema/raw/master/csl-citation.json"} </w:instrText>
      </w:r>
      <w:r w:rsidR="00913910" w:rsidRPr="00125CD1">
        <w:fldChar w:fldCharType="separate"/>
      </w:r>
      <w:r w:rsidR="00125CD1" w:rsidRPr="00125CD1">
        <w:t xml:space="preserve">(Dwijayanti </w:t>
      </w:r>
      <w:r w:rsidR="003D7EA0">
        <w:t>et al</w:t>
      </w:r>
      <w:r w:rsidR="00125CD1" w:rsidRPr="00125CD1">
        <w:t>., 2022</w:t>
      </w:r>
      <w:r w:rsidR="003D7EA0">
        <w:t xml:space="preserve">; </w:t>
      </w:r>
      <w:r w:rsidR="00125CD1" w:rsidRPr="00125CD1">
        <w:t>Karim, 2024)</w:t>
      </w:r>
      <w:r w:rsidR="00913910" w:rsidRPr="00125CD1">
        <w:fldChar w:fldCharType="end"/>
      </w:r>
      <w:r w:rsidRPr="00125CD1">
        <w:t>. This feedback loop motivates students to keep pushing forward in their learning, improving their ability to recall information and apply it in different situations.</w:t>
      </w:r>
    </w:p>
    <w:p w14:paraId="1B1A80F9" w14:textId="1F37DC89" w:rsidR="00116D39" w:rsidRPr="00125CD1" w:rsidRDefault="00116D39" w:rsidP="003D7EA0">
      <w:pPr>
        <w:pStyle w:val="maintextFAITH"/>
      </w:pPr>
      <w:r w:rsidRPr="00125CD1">
        <w:t xml:space="preserve">Research shows that problem-solving activities, a key part of gamified learning environments, significantly enhance students' cognitive abilities. These activities require students to critically analyze information, make decisions, and experiment with different solutions, ultimately improving their cognitive flexibility and adaptability </w:t>
      </w:r>
      <w:r w:rsidR="00913910" w:rsidRPr="00125CD1">
        <w:fldChar w:fldCharType="begin"/>
      </w:r>
      <w:r w:rsidR="00125CD1" w:rsidRPr="00125CD1">
        <w:instrText xml:space="preserve"> ADDIN ZOTERO_ITEM CSL_CITATION {"citationID":"unC2Mb7A","properties":{"formattedCitation":"(Duncan, 2018)","plainCitation":"(Duncan, 2018)","noteIndex":0},"citationItems":[{"id":1027,"uris":["http://zotero.org/users/11041210/items/CIRFC5AD"],"itemData":{"id":1027,"type":"article-journal","container-title":"HTS Teologiese Studies / Theological Studies","DOI":"10.4102/hts.v74i4.4802","ISSN":"0259-9422","issue":"4","title":"The benefits and dangers for churches and ministry institutions to work in a regulated environment, with reference to professionalising religious practice via south african qualifications authority and the national qualifications framework act","URL":"https://api.elsevier.com/content/abstract/scopus_id/85052094654","volume":"74","author":[{"family":"Duncan","given":"G."}],"issued":{"date-parts":[["2018"]]}}}],"schema":"https://github.com/citation-style-language/schema/raw/master/csl-citation.json"} </w:instrText>
      </w:r>
      <w:r w:rsidR="00913910" w:rsidRPr="00125CD1">
        <w:fldChar w:fldCharType="separate"/>
      </w:r>
      <w:r w:rsidR="00125CD1" w:rsidRPr="00125CD1">
        <w:t>(Duncan, 2018)</w:t>
      </w:r>
      <w:r w:rsidR="00913910" w:rsidRPr="00125CD1">
        <w:fldChar w:fldCharType="end"/>
      </w:r>
      <w:r w:rsidRPr="00125CD1">
        <w:t>. When students face challenges or complex problems in a gamified setting, they are encouraged to use trial-and-error methods, which fosters a learning atmosphere where mistakes are seen as valuable learning opportunities rather than failure</w:t>
      </w:r>
      <w:r w:rsidR="00913910" w:rsidRPr="00125CD1">
        <w:t xml:space="preserve"> </w:t>
      </w:r>
      <w:r w:rsidR="00913910" w:rsidRPr="00125CD1">
        <w:fldChar w:fldCharType="begin"/>
      </w:r>
      <w:r w:rsidR="00125CD1" w:rsidRPr="00125CD1">
        <w:instrText xml:space="preserve"> ADDIN ZOTERO_ITEM CSL_CITATION {"citationID":"TCeAYmS8","properties":{"formattedCitation":"(Zourmpakis dkk., 2023)","plainCitation":"(Zourmpakis dkk., 2023)","noteIndex":0},"citationItems":[{"id":12968,"uris":["http://zotero.org/users/11041210/items/K7BXTNP2"],"itemData":{"id":12968,"type":"article-journal","abstract":"In recent years, gamiﬁcation has captured the attention of researchers and educators, particularly in science education, where students often express negative emotions. Gamiﬁcation methods aim to motivate learners to participate in learning by incorporating intrinsic and extrinsic motivational factors. However, the effectiveness of gamiﬁcation has yielded varying outcomes, prompting researchers to explore adaptive gamiﬁcation as an alternative approach. Nevertheless, there needs to be more research on adaptive gamiﬁcation approaches, particularly concerning motivation, which is the primary objective of gamiﬁcation. In this study, we developed and tested an adaptive gamiﬁcation environment based on speciﬁc motivational and psychological frameworks. This environment incorporated adaptive criteria, learning strategies, gaming elements, and all crucial aspects of science education for six classes of third-grade students in primary school. We employed a quantitative approach to gain insights into the motivational impact on students and their perception of the adaptive gamiﬁcation application. We aimed to understand how each game element experienced by students inﬂuenced their motivation. Based on our ﬁndings, students were more motivated to learn science when using an adaptive gamiﬁcation environment. Additionally, the adaptation process was largely successful, as students generally liked the game elements integrated into their lessons, indicating the effectiveness of the multidimensional framework employed in enhancing students’ experiences and engagement.","container-title":"Computers","DOI":"10.3390/computers12070143","ISSN":"2073-431X","issue":"7","language":"en","license":"https://creativecommons.org/licenses/by/4.0/","note":"publisher: MDPI AG","page":"143","source":"Crossref","title":"Adaptive Gamification in Science Education: An Analysis of the Impact of Implementation and Adapted Game Elements on Students’ Motivation","title-short":"Adaptive Gamification in Science Education","volume":"12","author":[{"family":"Zourmpakis","given":"Alkinoos-Ioannis"},{"family":"Kalogiannakis","given":"Michail"},{"family":"Papadakis","given":"Stamatios"}],"issued":{"date-parts":[["2023",7,18]]}}}],"schema":"https://github.com/citation-style-language/schema/raw/master/csl-citation.json"} </w:instrText>
      </w:r>
      <w:r w:rsidR="00913910" w:rsidRPr="00125CD1">
        <w:fldChar w:fldCharType="separate"/>
      </w:r>
      <w:r w:rsidR="00125CD1" w:rsidRPr="00125CD1">
        <w:t xml:space="preserve">(Zourmpakis </w:t>
      </w:r>
      <w:r w:rsidR="003D7EA0">
        <w:t>et al</w:t>
      </w:r>
      <w:r w:rsidR="00125CD1" w:rsidRPr="00125CD1">
        <w:t>., 2023)</w:t>
      </w:r>
      <w:r w:rsidR="00913910" w:rsidRPr="00125CD1">
        <w:fldChar w:fldCharType="end"/>
      </w:r>
      <w:r w:rsidRPr="00125CD1">
        <w:t>. This process helps develop essential cognitive skills like decision-making, problem-</w:t>
      </w:r>
      <w:r w:rsidRPr="00125CD1">
        <w:lastRenderedPageBreak/>
        <w:t>solving, and creative thinking</w:t>
      </w:r>
      <w:r w:rsidR="003D7EA0">
        <w:t xml:space="preserve"> </w:t>
      </w:r>
      <w:r w:rsidRPr="00125CD1">
        <w:t>skills that are important not just for academic success, but for life beyond school.</w:t>
      </w:r>
    </w:p>
    <w:p w14:paraId="62D29397" w14:textId="4D571DD6" w:rsidR="00116D39" w:rsidRPr="00125CD1" w:rsidRDefault="00116D39" w:rsidP="003D7EA0">
      <w:pPr>
        <w:pStyle w:val="maintextFAITH"/>
      </w:pPr>
      <w:r w:rsidRPr="00125CD1">
        <w:t>Additionally, the stress-free environment created by gamification plays a big role in improving cognitive outcomes. Traditional learning settings, which can sometimes be seen as rigid or punitive, may discourage students from taking risks or trying new approaches. In contrast, gamification promotes experimentation by offering students the freedom to fail in a low-stakes context, which reduces the fear of failure and encourages them to engage more fully with the material. As a result, gamified environments tend to cultivate positive attitudes toward learning, boost intrinsic motivation, and enhance long-term retention</w:t>
      </w:r>
      <w:r w:rsidR="003D7EA0">
        <w:t xml:space="preserve"> </w:t>
      </w:r>
      <w:r w:rsidRPr="00125CD1">
        <w:t>critical factors in subjects like Islamic education, where students need to internalize complex concepts and religious values.</w:t>
      </w:r>
    </w:p>
    <w:p w14:paraId="4374FE78" w14:textId="48879BC6" w:rsidR="00116D39" w:rsidRPr="00125CD1" w:rsidRDefault="00116D39" w:rsidP="003D7EA0">
      <w:pPr>
        <w:pStyle w:val="maintextFAITH"/>
      </w:pPr>
      <w:r w:rsidRPr="00125CD1">
        <w:t>The effectiveness of gamification in boosting cognitive engagement is also tied to its ability to cater to diverse learning styles. By incorporating interactive features such as visual aids, storytelling, and simulation-based learning, gamification provides different pathways for students to engage with the material. This multimodal approach helps accommodate various cognitive processing styles and allows students to interact with content in ways that align with their individual learning preferences</w:t>
      </w:r>
      <w:r w:rsidR="00913910" w:rsidRPr="00125CD1">
        <w:t xml:space="preserve"> </w:t>
      </w:r>
      <w:r w:rsidR="00913910" w:rsidRPr="00125CD1">
        <w:fldChar w:fldCharType="begin"/>
      </w:r>
      <w:r w:rsidR="00125CD1" w:rsidRPr="00125CD1">
        <w:instrText xml:space="preserve"> ADDIN ZOTERO_ITEM CSL_CITATION {"citationID":"HdH6k5BS","properties":{"formattedCitation":"(Gant &amp; Luttbeg, 1987)","plainCitation":"(Gant &amp; Luttbeg, 1987)","noteIndex":0},"citationItems":[{"id":12793,"uris":["http://zotero.org/users/11041210/items/A6MZFAAD"],"itemData":{"id":12793,"type":"article-journal","container-title":"Political Research Quarterly","DOI":"10.1177/106591298704000308","journalAbbreviation":"Political Research Quarterly","page":"499-517","title":"The Cognitive Utility of Partisanship","volume":"40","author":[{"family":"Gant","given":"Michael"},{"family":"Luttbeg","given":"Norman"}],"issued":{"date-parts":[["1987",9,1]]}}}],"schema":"https://github.com/citation-style-language/schema/raw/master/csl-citation.json"} </w:instrText>
      </w:r>
      <w:r w:rsidR="00913910" w:rsidRPr="00125CD1">
        <w:fldChar w:fldCharType="separate"/>
      </w:r>
      <w:r w:rsidR="00125CD1" w:rsidRPr="00125CD1">
        <w:t>(Gant &amp; Luttbeg, 1987)</w:t>
      </w:r>
      <w:r w:rsidR="00913910" w:rsidRPr="00125CD1">
        <w:fldChar w:fldCharType="end"/>
      </w:r>
      <w:r w:rsidRPr="00125CD1">
        <w:t>. Moreover, gamification’s blend of competition, collaboration, and rewards creates an environment where students can actively apply their knowledge, work together with peers, and compete in ways that foster both individual and collective learning.</w:t>
      </w:r>
    </w:p>
    <w:p w14:paraId="7A5309AC" w14:textId="77777777" w:rsidR="00116D39" w:rsidRDefault="00116D39" w:rsidP="003D7EA0">
      <w:pPr>
        <w:pStyle w:val="maintextFAITH"/>
      </w:pPr>
      <w:r w:rsidRPr="00125CD1">
        <w:t>In the context of Islamic education, gamification’s ability to enhance cognitive engagement and memory retention is especially valuable. Islamic teachings, which often require students to grasp abstract concepts and internalize religious values, can be made more accessible and engaging through gamified learning strategies. This approach helps bridge the gap between abstract theological ideas and students' real-world experiences, ultimately improving both cognitive and emotional engagement with the subject matter (Abdullah, 2020).</w:t>
      </w:r>
    </w:p>
    <w:p w14:paraId="7EE7A620" w14:textId="77777777" w:rsidR="003D7EA0" w:rsidRPr="00125CD1" w:rsidRDefault="003D7EA0" w:rsidP="003D7EA0">
      <w:pPr>
        <w:pStyle w:val="maintextFAITH"/>
      </w:pPr>
    </w:p>
    <w:p w14:paraId="507FE0E8" w14:textId="2DDC57BA" w:rsidR="00CA760A" w:rsidRPr="00325902" w:rsidRDefault="00CA760A" w:rsidP="003D7EA0">
      <w:pPr>
        <w:pStyle w:val="heading1FAITH"/>
        <w:numPr>
          <w:ilvl w:val="0"/>
          <w:numId w:val="4"/>
        </w:numPr>
        <w:spacing w:before="0" w:after="0"/>
      </w:pPr>
      <w:r>
        <w:t>Conclusion</w:t>
      </w:r>
    </w:p>
    <w:p w14:paraId="7A2F3730" w14:textId="77777777" w:rsidR="00116D39" w:rsidRPr="00116D39" w:rsidRDefault="00116D39" w:rsidP="003D7EA0">
      <w:pPr>
        <w:pStyle w:val="maintextFAITH"/>
        <w:rPr>
          <w:b/>
        </w:rPr>
      </w:pPr>
      <w:r w:rsidRPr="00116D39">
        <w:t>This systematic review underscores the significant positive impact of gamification on motivation, emotional engagement, and learning psychology in Islamic Religious Education (IRE) for primary students. The research highlights that gamification, by introducing elements like rewards, challenges, and interactive activities, has the potential to create a dynamic and motivating learning environment that fosters active participation. These game-like features can increase students’ enthusiasm for learning and encourage a deeper emotional connection with the material, which is essential in the context of IRE, where the aim is to instill values, beliefs, and moral guidance. Moreover, gamification can enhance cognitive outcomes by encouraging active learning and improving memory retention. The interactive nature of gamified tasks also promotes deeper engagement, making learning more enjoyable and memorable. The findings suggest that incorporating gamified elements into IRE curricula can significantly enhance the educational experience and effectiveness of teaching strategies. Given these promising results, it is recommended that educators, curriculum developers, and policymakers explore and integrate gamification strategies into primary school IRE curricula. However, while the current research shows positive outcomes, further studies are necessary to assess the long-term effects of gamification on student learning and emotional development. Future research should also focus on identifying the most effective practices for integrating gamification within Islamic educational settings.</w:t>
      </w:r>
    </w:p>
    <w:p w14:paraId="1A73ECBD" w14:textId="6C4DC43B" w:rsidR="00C46882" w:rsidRDefault="00CA760A" w:rsidP="00C46882">
      <w:pPr>
        <w:pStyle w:val="heading1FAITH"/>
        <w:ind w:left="0"/>
      </w:pPr>
      <w:r w:rsidRPr="00FA04F1">
        <w:t>References</w:t>
      </w:r>
    </w:p>
    <w:p w14:paraId="1C415A0E" w14:textId="294C081E" w:rsidR="00C46882" w:rsidRPr="00C46882" w:rsidRDefault="00C46882" w:rsidP="00C46882">
      <w:pPr>
        <w:adjustRightInd w:val="0"/>
        <w:snapToGrid w:val="0"/>
        <w:spacing w:after="120" w:line="240" w:lineRule="auto"/>
        <w:ind w:left="720" w:hanging="720"/>
        <w:rPr>
          <w:rFonts w:eastAsia="Times New Roman"/>
          <w:b w:val="0"/>
          <w:noProof w:val="0"/>
          <w:color w:val="auto"/>
          <w:sz w:val="20"/>
          <w:lang w:val="id-ID" w:eastAsia="ko-KR"/>
        </w:rPr>
      </w:pPr>
      <w:r w:rsidRPr="00C46882">
        <w:rPr>
          <w:rFonts w:eastAsia="Times New Roman"/>
          <w:b w:val="0"/>
          <w:noProof w:val="0"/>
          <w:color w:val="auto"/>
          <w:sz w:val="20"/>
          <w:lang w:val="id-ID" w:eastAsia="ko-KR"/>
        </w:rPr>
        <w:t xml:space="preserve">Akcaoglu, M., Rosenberg, J. M., Ranellucci, J., &amp; Schwarz, C. V. (2018). Outcomes from a self-generated utility value intervention on fifth and sixth-grade students’ value and interest in science. </w:t>
      </w:r>
      <w:r w:rsidRPr="00C46882">
        <w:rPr>
          <w:rFonts w:eastAsia="Times New Roman"/>
          <w:b w:val="0"/>
          <w:i/>
          <w:iCs/>
          <w:noProof w:val="0"/>
          <w:color w:val="auto"/>
          <w:sz w:val="20"/>
          <w:lang w:val="id-ID" w:eastAsia="ko-KR"/>
        </w:rPr>
        <w:t>International Journal of Educational Research, 87</w:t>
      </w:r>
      <w:r w:rsidRPr="00C46882">
        <w:rPr>
          <w:rFonts w:eastAsia="Times New Roman"/>
          <w:b w:val="0"/>
          <w:noProof w:val="0"/>
          <w:color w:val="auto"/>
          <w:sz w:val="20"/>
          <w:lang w:val="id-ID" w:eastAsia="ko-KR"/>
        </w:rPr>
        <w:t xml:space="preserve">, 67–77. </w:t>
      </w:r>
      <w:hyperlink r:id="rId10" w:history="1">
        <w:r w:rsidRPr="00C46882">
          <w:rPr>
            <w:rStyle w:val="Hyperlink"/>
            <w:rFonts w:eastAsia="Times New Roman"/>
            <w:b w:val="0"/>
            <w:noProof w:val="0"/>
            <w:sz w:val="20"/>
            <w:lang w:val="id-ID" w:eastAsia="ko-KR"/>
          </w:rPr>
          <w:t>https://doi.org/10.1016/j.ijer.2017.12.001</w:t>
        </w:r>
      </w:hyperlink>
      <w:r>
        <w:rPr>
          <w:rFonts w:eastAsia="Times New Roman"/>
          <w:b w:val="0"/>
          <w:noProof w:val="0"/>
          <w:color w:val="0000FF"/>
          <w:sz w:val="20"/>
          <w:u w:val="single"/>
          <w:lang w:val="id-ID" w:eastAsia="ko-KR"/>
        </w:rPr>
        <w:t xml:space="preserve"> </w:t>
      </w:r>
    </w:p>
    <w:p w14:paraId="1228903F" w14:textId="77777777" w:rsidR="00C46882" w:rsidRPr="00C46882" w:rsidRDefault="00C46882" w:rsidP="00C46882">
      <w:pPr>
        <w:adjustRightInd w:val="0"/>
        <w:snapToGrid w:val="0"/>
        <w:spacing w:after="120" w:line="240" w:lineRule="auto"/>
        <w:ind w:left="720" w:hanging="720"/>
        <w:rPr>
          <w:rFonts w:eastAsia="Times New Roman"/>
          <w:b w:val="0"/>
          <w:noProof w:val="0"/>
          <w:color w:val="auto"/>
          <w:sz w:val="20"/>
          <w:lang w:val="id-ID" w:eastAsia="ko-KR"/>
        </w:rPr>
      </w:pPr>
      <w:r w:rsidRPr="00C46882">
        <w:rPr>
          <w:rFonts w:eastAsia="Times New Roman"/>
          <w:b w:val="0"/>
          <w:noProof w:val="0"/>
          <w:color w:val="auto"/>
          <w:sz w:val="20"/>
          <w:lang w:val="id-ID" w:eastAsia="ko-KR"/>
        </w:rPr>
        <w:t xml:space="preserve">Alimni, A., Amin, A., &amp; Kurniawan, D. A. (2022). The role of Islamic education teachers in fostering students’ emotional intelligence. </w:t>
      </w:r>
      <w:r w:rsidRPr="00C46882">
        <w:rPr>
          <w:rFonts w:eastAsia="Times New Roman"/>
          <w:b w:val="0"/>
          <w:i/>
          <w:iCs/>
          <w:noProof w:val="0"/>
          <w:color w:val="auto"/>
          <w:sz w:val="20"/>
          <w:lang w:val="id-ID" w:eastAsia="ko-KR"/>
        </w:rPr>
        <w:t>International Journal of Evaluation and Research in Education, 11</w:t>
      </w:r>
      <w:r w:rsidRPr="00C46882">
        <w:rPr>
          <w:rFonts w:eastAsia="Times New Roman"/>
          <w:b w:val="0"/>
          <w:noProof w:val="0"/>
          <w:color w:val="auto"/>
          <w:sz w:val="20"/>
          <w:lang w:val="id-ID" w:eastAsia="ko-KR"/>
        </w:rPr>
        <w:t xml:space="preserve">(4), 1881. </w:t>
      </w:r>
      <w:hyperlink r:id="rId11" w:tgtFrame="_new" w:history="1">
        <w:r w:rsidRPr="00C46882">
          <w:rPr>
            <w:rFonts w:eastAsia="Times New Roman"/>
            <w:b w:val="0"/>
            <w:noProof w:val="0"/>
            <w:color w:val="0000FF"/>
            <w:sz w:val="20"/>
            <w:u w:val="single"/>
            <w:lang w:val="id-ID" w:eastAsia="ko-KR"/>
          </w:rPr>
          <w:t>https://doi.org/10.11591/ijere.v11i4.22116</w:t>
        </w:r>
      </w:hyperlink>
    </w:p>
    <w:p w14:paraId="39328D77" w14:textId="77777777" w:rsidR="00C46882" w:rsidRPr="00C46882" w:rsidRDefault="00C46882" w:rsidP="00C46882">
      <w:pPr>
        <w:adjustRightInd w:val="0"/>
        <w:snapToGrid w:val="0"/>
        <w:spacing w:after="120" w:line="240" w:lineRule="auto"/>
        <w:ind w:left="720" w:hanging="720"/>
        <w:rPr>
          <w:rFonts w:eastAsia="Times New Roman"/>
          <w:b w:val="0"/>
          <w:noProof w:val="0"/>
          <w:color w:val="auto"/>
          <w:sz w:val="20"/>
          <w:lang w:val="id-ID" w:eastAsia="ko-KR"/>
        </w:rPr>
      </w:pPr>
      <w:r w:rsidRPr="00C46882">
        <w:rPr>
          <w:rFonts w:eastAsia="Times New Roman"/>
          <w:b w:val="0"/>
          <w:noProof w:val="0"/>
          <w:color w:val="auto"/>
          <w:sz w:val="20"/>
          <w:lang w:val="id-ID" w:eastAsia="ko-KR"/>
        </w:rPr>
        <w:t xml:space="preserve">Arafah, A. L. A., Jiao, D., Selvia, D. S. E., Wang, Y., &amp; Halim, C. (2024). Empowering autonomous Islamic religious education learners with technology-enhanced tools to improve performance and self-motivation. </w:t>
      </w:r>
      <w:r w:rsidRPr="00C46882">
        <w:rPr>
          <w:rFonts w:eastAsia="Times New Roman"/>
          <w:b w:val="0"/>
          <w:i/>
          <w:iCs/>
          <w:noProof w:val="0"/>
          <w:color w:val="auto"/>
          <w:sz w:val="20"/>
          <w:lang w:val="id-ID" w:eastAsia="ko-KR"/>
        </w:rPr>
        <w:t>Journal Neosantara Hybrid Learning, 2</w:t>
      </w:r>
      <w:r w:rsidRPr="00C46882">
        <w:rPr>
          <w:rFonts w:eastAsia="Times New Roman"/>
          <w:b w:val="0"/>
          <w:noProof w:val="0"/>
          <w:color w:val="auto"/>
          <w:sz w:val="20"/>
          <w:lang w:val="id-ID" w:eastAsia="ko-KR"/>
        </w:rPr>
        <w:t xml:space="preserve">(1), 318–331. </w:t>
      </w:r>
      <w:hyperlink r:id="rId12" w:tgtFrame="_new" w:history="1">
        <w:r w:rsidRPr="00C46882">
          <w:rPr>
            <w:rFonts w:eastAsia="Times New Roman"/>
            <w:b w:val="0"/>
            <w:noProof w:val="0"/>
            <w:color w:val="0000FF"/>
            <w:sz w:val="20"/>
            <w:u w:val="single"/>
            <w:lang w:val="id-ID" w:eastAsia="ko-KR"/>
          </w:rPr>
          <w:t>https://doi.org/10.55849/jnhl.v2i1.850</w:t>
        </w:r>
      </w:hyperlink>
    </w:p>
    <w:p w14:paraId="6369DA22" w14:textId="77777777" w:rsidR="00C46882" w:rsidRPr="00C46882" w:rsidRDefault="00C46882" w:rsidP="00C46882">
      <w:pPr>
        <w:adjustRightInd w:val="0"/>
        <w:snapToGrid w:val="0"/>
        <w:spacing w:after="120" w:line="240" w:lineRule="auto"/>
        <w:ind w:left="720" w:hanging="720"/>
        <w:rPr>
          <w:rFonts w:eastAsia="Times New Roman"/>
          <w:b w:val="0"/>
          <w:noProof w:val="0"/>
          <w:color w:val="auto"/>
          <w:sz w:val="20"/>
          <w:lang w:val="id-ID" w:eastAsia="ko-KR"/>
        </w:rPr>
      </w:pPr>
      <w:r w:rsidRPr="00C46882">
        <w:rPr>
          <w:rFonts w:eastAsia="Times New Roman"/>
          <w:b w:val="0"/>
          <w:noProof w:val="0"/>
          <w:color w:val="auto"/>
          <w:sz w:val="20"/>
          <w:lang w:val="id-ID" w:eastAsia="ko-KR"/>
        </w:rPr>
        <w:t xml:space="preserve">Arlina, A., Siregar, E., Hasibuan, F., &amp; ... (2023). Peran orangtua dalam menanamkan nilai-nilai Islam pada anak di era digital. </w:t>
      </w:r>
      <w:r w:rsidRPr="00C46882">
        <w:rPr>
          <w:rFonts w:eastAsia="Times New Roman"/>
          <w:b w:val="0"/>
          <w:i/>
          <w:iCs/>
          <w:noProof w:val="0"/>
          <w:color w:val="auto"/>
          <w:sz w:val="20"/>
          <w:lang w:val="id-ID" w:eastAsia="ko-KR"/>
        </w:rPr>
        <w:t>At-Tadris: Journal of ...</w:t>
      </w:r>
      <w:r w:rsidRPr="00C46882">
        <w:rPr>
          <w:rFonts w:eastAsia="Times New Roman"/>
          <w:b w:val="0"/>
          <w:noProof w:val="0"/>
          <w:color w:val="auto"/>
          <w:sz w:val="20"/>
          <w:lang w:val="id-ID" w:eastAsia="ko-KR"/>
        </w:rPr>
        <w:t xml:space="preserve">. </w:t>
      </w:r>
      <w:hyperlink r:id="rId13" w:tgtFrame="_new" w:history="1">
        <w:r w:rsidRPr="00C46882">
          <w:rPr>
            <w:rFonts w:eastAsia="Times New Roman"/>
            <w:b w:val="0"/>
            <w:noProof w:val="0"/>
            <w:color w:val="0000FF"/>
            <w:sz w:val="20"/>
            <w:u w:val="single"/>
            <w:lang w:val="id-ID" w:eastAsia="ko-KR"/>
          </w:rPr>
          <w:t>https://journal.ikadi.or.id/index.php/attadris/article/view/77</w:t>
        </w:r>
      </w:hyperlink>
    </w:p>
    <w:p w14:paraId="6EE22443" w14:textId="77777777" w:rsidR="00C46882" w:rsidRPr="00C46882" w:rsidRDefault="00C46882" w:rsidP="00C46882">
      <w:pPr>
        <w:adjustRightInd w:val="0"/>
        <w:snapToGrid w:val="0"/>
        <w:spacing w:after="120" w:line="240" w:lineRule="auto"/>
        <w:ind w:left="720" w:hanging="720"/>
        <w:rPr>
          <w:rFonts w:eastAsia="Times New Roman"/>
          <w:b w:val="0"/>
          <w:noProof w:val="0"/>
          <w:color w:val="auto"/>
          <w:sz w:val="20"/>
          <w:lang w:val="id-ID" w:eastAsia="ko-KR"/>
        </w:rPr>
      </w:pPr>
      <w:r w:rsidRPr="00C46882">
        <w:rPr>
          <w:rFonts w:eastAsia="Times New Roman"/>
          <w:b w:val="0"/>
          <w:noProof w:val="0"/>
          <w:color w:val="auto"/>
          <w:sz w:val="20"/>
          <w:lang w:val="id-ID" w:eastAsia="ko-KR"/>
        </w:rPr>
        <w:lastRenderedPageBreak/>
        <w:t xml:space="preserve">Atkins, J. L., Vega-Uriostegui, T., Norwood, D., &amp; Adamuti-Trache, M. (2023). Social and emotional learning and ninth-grade students’ academic achievement. </w:t>
      </w:r>
      <w:r w:rsidRPr="00C46882">
        <w:rPr>
          <w:rFonts w:eastAsia="Times New Roman"/>
          <w:b w:val="0"/>
          <w:i/>
          <w:iCs/>
          <w:noProof w:val="0"/>
          <w:color w:val="auto"/>
          <w:sz w:val="20"/>
          <w:lang w:val="id-ID" w:eastAsia="ko-KR"/>
        </w:rPr>
        <w:t>Journal of Intelligence, 11</w:t>
      </w:r>
      <w:r w:rsidRPr="00C46882">
        <w:rPr>
          <w:rFonts w:eastAsia="Times New Roman"/>
          <w:b w:val="0"/>
          <w:noProof w:val="0"/>
          <w:color w:val="auto"/>
          <w:sz w:val="20"/>
          <w:lang w:val="id-ID" w:eastAsia="ko-KR"/>
        </w:rPr>
        <w:t xml:space="preserve">(9). </w:t>
      </w:r>
      <w:hyperlink r:id="rId14" w:tgtFrame="_new" w:history="1">
        <w:r w:rsidRPr="00C46882">
          <w:rPr>
            <w:rFonts w:eastAsia="Times New Roman"/>
            <w:b w:val="0"/>
            <w:noProof w:val="0"/>
            <w:color w:val="0000FF"/>
            <w:sz w:val="20"/>
            <w:u w:val="single"/>
            <w:lang w:val="id-ID" w:eastAsia="ko-KR"/>
          </w:rPr>
          <w:t>https://doi.org/10.3390/jintelligence11090185</w:t>
        </w:r>
      </w:hyperlink>
    </w:p>
    <w:p w14:paraId="74961D57" w14:textId="77777777" w:rsidR="00C46882" w:rsidRPr="00C46882" w:rsidRDefault="00C46882" w:rsidP="00C46882">
      <w:pPr>
        <w:adjustRightInd w:val="0"/>
        <w:snapToGrid w:val="0"/>
        <w:spacing w:after="120" w:line="240" w:lineRule="auto"/>
        <w:ind w:left="720" w:hanging="720"/>
        <w:rPr>
          <w:rFonts w:eastAsia="Times New Roman"/>
          <w:b w:val="0"/>
          <w:noProof w:val="0"/>
          <w:color w:val="auto"/>
          <w:sz w:val="20"/>
          <w:lang w:val="id-ID" w:eastAsia="ko-KR"/>
        </w:rPr>
      </w:pPr>
      <w:r w:rsidRPr="00C46882">
        <w:rPr>
          <w:rFonts w:eastAsia="Times New Roman"/>
          <w:b w:val="0"/>
          <w:noProof w:val="0"/>
          <w:color w:val="auto"/>
          <w:sz w:val="20"/>
          <w:lang w:val="id-ID" w:eastAsia="ko-KR"/>
        </w:rPr>
        <w:t xml:space="preserve">Azizah, N. (2022). Penerapan metode role playing untuk meningkatkan keterampilan berbicara dan motivasi belajar siswa dalam menguasai congratulations expressions. </w:t>
      </w:r>
      <w:r w:rsidRPr="00C46882">
        <w:rPr>
          <w:rFonts w:eastAsia="Times New Roman"/>
          <w:b w:val="0"/>
          <w:i/>
          <w:iCs/>
          <w:noProof w:val="0"/>
          <w:color w:val="auto"/>
          <w:sz w:val="20"/>
          <w:lang w:val="id-ID" w:eastAsia="ko-KR"/>
        </w:rPr>
        <w:t>Educatif Journal of Education Research, 4</w:t>
      </w:r>
      <w:r w:rsidRPr="00C46882">
        <w:rPr>
          <w:rFonts w:eastAsia="Times New Roman"/>
          <w:b w:val="0"/>
          <w:noProof w:val="0"/>
          <w:color w:val="auto"/>
          <w:sz w:val="20"/>
          <w:lang w:val="id-ID" w:eastAsia="ko-KR"/>
        </w:rPr>
        <w:t xml:space="preserve">(1), 121–131. </w:t>
      </w:r>
      <w:hyperlink r:id="rId15" w:tgtFrame="_new" w:history="1">
        <w:r w:rsidRPr="00C46882">
          <w:rPr>
            <w:rFonts w:eastAsia="Times New Roman"/>
            <w:b w:val="0"/>
            <w:noProof w:val="0"/>
            <w:color w:val="0000FF"/>
            <w:sz w:val="20"/>
            <w:u w:val="single"/>
            <w:lang w:val="id-ID" w:eastAsia="ko-KR"/>
          </w:rPr>
          <w:t>https://doi.org/10.36654/educatif.v4i1.275</w:t>
        </w:r>
      </w:hyperlink>
    </w:p>
    <w:p w14:paraId="3DF08E50" w14:textId="77777777" w:rsidR="00C46882" w:rsidRPr="00C46882" w:rsidRDefault="00C46882" w:rsidP="00C46882">
      <w:pPr>
        <w:adjustRightInd w:val="0"/>
        <w:snapToGrid w:val="0"/>
        <w:spacing w:after="120" w:line="240" w:lineRule="auto"/>
        <w:ind w:left="720" w:hanging="720"/>
        <w:rPr>
          <w:rFonts w:eastAsia="Times New Roman"/>
          <w:b w:val="0"/>
          <w:noProof w:val="0"/>
          <w:color w:val="auto"/>
          <w:sz w:val="20"/>
          <w:lang w:val="id-ID" w:eastAsia="ko-KR"/>
        </w:rPr>
      </w:pPr>
      <w:r w:rsidRPr="00C46882">
        <w:rPr>
          <w:rFonts w:eastAsia="Times New Roman"/>
          <w:b w:val="0"/>
          <w:noProof w:val="0"/>
          <w:color w:val="auto"/>
          <w:sz w:val="20"/>
          <w:lang w:val="id-ID" w:eastAsia="ko-KR"/>
        </w:rPr>
        <w:t xml:space="preserve">Azizah, S. S., Syahidin, S., &amp; Anwar, S. (2024). Implementasi model gamifikasi untuk meningkatkan motivasi siswa pada pelajaran PAI di SMAN 13 Bandung. </w:t>
      </w:r>
      <w:r w:rsidRPr="00C46882">
        <w:rPr>
          <w:rFonts w:eastAsia="Times New Roman"/>
          <w:b w:val="0"/>
          <w:i/>
          <w:iCs/>
          <w:noProof w:val="0"/>
          <w:color w:val="auto"/>
          <w:sz w:val="20"/>
          <w:lang w:val="id-ID" w:eastAsia="ko-KR"/>
        </w:rPr>
        <w:t>LEARNING: Jurnal Inovasi Penelitian Pendidikan dan Pembelajaran, 4</w:t>
      </w:r>
      <w:r w:rsidRPr="00C46882">
        <w:rPr>
          <w:rFonts w:eastAsia="Times New Roman"/>
          <w:b w:val="0"/>
          <w:noProof w:val="0"/>
          <w:color w:val="auto"/>
          <w:sz w:val="20"/>
          <w:lang w:val="id-ID" w:eastAsia="ko-KR"/>
        </w:rPr>
        <w:t xml:space="preserve">(4), 1221–1229. </w:t>
      </w:r>
      <w:hyperlink r:id="rId16" w:tgtFrame="_new" w:history="1">
        <w:r w:rsidRPr="00C46882">
          <w:rPr>
            <w:rFonts w:eastAsia="Times New Roman"/>
            <w:b w:val="0"/>
            <w:noProof w:val="0"/>
            <w:color w:val="0000FF"/>
            <w:sz w:val="20"/>
            <w:u w:val="single"/>
            <w:lang w:val="id-ID" w:eastAsia="ko-KR"/>
          </w:rPr>
          <w:t>https://doi.org/10.51878/learning.v4i4.3823</w:t>
        </w:r>
      </w:hyperlink>
    </w:p>
    <w:p w14:paraId="509068B4" w14:textId="77777777" w:rsidR="00C46882" w:rsidRPr="00C46882" w:rsidRDefault="00C46882" w:rsidP="00C46882">
      <w:pPr>
        <w:adjustRightInd w:val="0"/>
        <w:snapToGrid w:val="0"/>
        <w:spacing w:after="120" w:line="240" w:lineRule="auto"/>
        <w:ind w:left="720" w:hanging="720"/>
        <w:rPr>
          <w:rFonts w:eastAsia="Times New Roman"/>
          <w:b w:val="0"/>
          <w:noProof w:val="0"/>
          <w:color w:val="auto"/>
          <w:sz w:val="20"/>
          <w:lang w:val="id-ID" w:eastAsia="ko-KR"/>
        </w:rPr>
      </w:pPr>
      <w:r w:rsidRPr="00C46882">
        <w:rPr>
          <w:rFonts w:eastAsia="Times New Roman"/>
          <w:b w:val="0"/>
          <w:noProof w:val="0"/>
          <w:color w:val="auto"/>
          <w:sz w:val="20"/>
          <w:lang w:val="id-ID" w:eastAsia="ko-KR"/>
        </w:rPr>
        <w:t xml:space="preserve">Byker, E. J. (2019). Study abroad as social and emotional learning: Framing international teaching with critical cosmopolitan theory. </w:t>
      </w:r>
      <w:r w:rsidRPr="00C46882">
        <w:rPr>
          <w:rFonts w:eastAsia="Times New Roman"/>
          <w:b w:val="0"/>
          <w:i/>
          <w:iCs/>
          <w:noProof w:val="0"/>
          <w:color w:val="auto"/>
          <w:sz w:val="20"/>
          <w:lang w:val="id-ID" w:eastAsia="ko-KR"/>
        </w:rPr>
        <w:t>Journal of Research in Innovative Teaching and Learning, 12</w:t>
      </w:r>
      <w:r w:rsidRPr="00C46882">
        <w:rPr>
          <w:rFonts w:eastAsia="Times New Roman"/>
          <w:b w:val="0"/>
          <w:noProof w:val="0"/>
          <w:color w:val="auto"/>
          <w:sz w:val="20"/>
          <w:lang w:val="id-ID" w:eastAsia="ko-KR"/>
        </w:rPr>
        <w:t xml:space="preserve">(2), 183–194. </w:t>
      </w:r>
      <w:hyperlink r:id="rId17" w:tgtFrame="_new" w:history="1">
        <w:r w:rsidRPr="00C46882">
          <w:rPr>
            <w:rFonts w:eastAsia="Times New Roman"/>
            <w:b w:val="0"/>
            <w:noProof w:val="0"/>
            <w:color w:val="0000FF"/>
            <w:sz w:val="20"/>
            <w:u w:val="single"/>
            <w:lang w:val="id-ID" w:eastAsia="ko-KR"/>
          </w:rPr>
          <w:t>https://doi.org/10.1108/JRIT-02-2019-0023</w:t>
        </w:r>
      </w:hyperlink>
    </w:p>
    <w:p w14:paraId="4F0DB2D5" w14:textId="77777777" w:rsidR="00C46882" w:rsidRPr="00C46882" w:rsidRDefault="00C46882" w:rsidP="00C46882">
      <w:pPr>
        <w:adjustRightInd w:val="0"/>
        <w:snapToGrid w:val="0"/>
        <w:spacing w:after="120" w:line="240" w:lineRule="auto"/>
        <w:ind w:left="720" w:hanging="720"/>
        <w:rPr>
          <w:rFonts w:eastAsia="Times New Roman"/>
          <w:b w:val="0"/>
          <w:noProof w:val="0"/>
          <w:color w:val="auto"/>
          <w:sz w:val="20"/>
          <w:lang w:val="id-ID" w:eastAsia="ko-KR"/>
        </w:rPr>
      </w:pPr>
      <w:r w:rsidRPr="00C46882">
        <w:rPr>
          <w:rFonts w:eastAsia="Times New Roman"/>
          <w:b w:val="0"/>
          <w:noProof w:val="0"/>
          <w:color w:val="auto"/>
          <w:sz w:val="20"/>
          <w:lang w:val="id-ID" w:eastAsia="ko-KR"/>
        </w:rPr>
        <w:t xml:space="preserve">Creswell, J. W. (2009). </w:t>
      </w:r>
      <w:r w:rsidRPr="00C46882">
        <w:rPr>
          <w:rFonts w:eastAsia="Times New Roman"/>
          <w:b w:val="0"/>
          <w:i/>
          <w:iCs/>
          <w:noProof w:val="0"/>
          <w:color w:val="auto"/>
          <w:sz w:val="20"/>
          <w:lang w:val="id-ID" w:eastAsia="ko-KR"/>
        </w:rPr>
        <w:t>Research design: Qualitative, quantitative, and mixed methods approaches</w:t>
      </w:r>
      <w:r w:rsidRPr="00C46882">
        <w:rPr>
          <w:rFonts w:eastAsia="Times New Roman"/>
          <w:b w:val="0"/>
          <w:noProof w:val="0"/>
          <w:color w:val="auto"/>
          <w:sz w:val="20"/>
          <w:lang w:val="id-ID" w:eastAsia="ko-KR"/>
        </w:rPr>
        <w:t>. Sage.</w:t>
      </w:r>
    </w:p>
    <w:p w14:paraId="5B926F5E" w14:textId="77777777" w:rsidR="00C46882" w:rsidRPr="00C46882" w:rsidRDefault="00C46882" w:rsidP="00C46882">
      <w:pPr>
        <w:adjustRightInd w:val="0"/>
        <w:snapToGrid w:val="0"/>
        <w:spacing w:after="120" w:line="240" w:lineRule="auto"/>
        <w:ind w:left="720" w:hanging="720"/>
        <w:rPr>
          <w:rFonts w:eastAsia="Times New Roman"/>
          <w:b w:val="0"/>
          <w:noProof w:val="0"/>
          <w:color w:val="auto"/>
          <w:sz w:val="20"/>
          <w:lang w:val="id-ID" w:eastAsia="ko-KR"/>
        </w:rPr>
      </w:pPr>
      <w:r w:rsidRPr="00C46882">
        <w:rPr>
          <w:rFonts w:eastAsia="Times New Roman"/>
          <w:b w:val="0"/>
          <w:noProof w:val="0"/>
          <w:color w:val="auto"/>
          <w:sz w:val="20"/>
          <w:lang w:val="id-ID" w:eastAsia="ko-KR"/>
        </w:rPr>
        <w:t xml:space="preserve">Duncan, G. (2018). The benefits and dangers for churches and ministry institutions to work in a regulated environment, with reference to professionalising religious practice via South African qualifications authority and the national qualifications framework act. </w:t>
      </w:r>
      <w:r w:rsidRPr="00C46882">
        <w:rPr>
          <w:rFonts w:eastAsia="Times New Roman"/>
          <w:b w:val="0"/>
          <w:i/>
          <w:iCs/>
          <w:noProof w:val="0"/>
          <w:color w:val="auto"/>
          <w:sz w:val="20"/>
          <w:lang w:val="id-ID" w:eastAsia="ko-KR"/>
        </w:rPr>
        <w:t>HTS Teologiese Studies / Theological Studies, 74</w:t>
      </w:r>
      <w:r w:rsidRPr="00C46882">
        <w:rPr>
          <w:rFonts w:eastAsia="Times New Roman"/>
          <w:b w:val="0"/>
          <w:noProof w:val="0"/>
          <w:color w:val="auto"/>
          <w:sz w:val="20"/>
          <w:lang w:val="id-ID" w:eastAsia="ko-KR"/>
        </w:rPr>
        <w:t xml:space="preserve">(4). </w:t>
      </w:r>
      <w:hyperlink r:id="rId18" w:tgtFrame="_new" w:history="1">
        <w:r w:rsidRPr="00C46882">
          <w:rPr>
            <w:rFonts w:eastAsia="Times New Roman"/>
            <w:b w:val="0"/>
            <w:noProof w:val="0"/>
            <w:color w:val="0000FF"/>
            <w:sz w:val="20"/>
            <w:u w:val="single"/>
            <w:lang w:val="id-ID" w:eastAsia="ko-KR"/>
          </w:rPr>
          <w:t>https://doi.org/10.4102/hts.v74i4.4802</w:t>
        </w:r>
      </w:hyperlink>
    </w:p>
    <w:p w14:paraId="1BC748C2" w14:textId="77777777" w:rsidR="00C46882" w:rsidRPr="00C46882" w:rsidRDefault="00C46882" w:rsidP="00C46882">
      <w:pPr>
        <w:adjustRightInd w:val="0"/>
        <w:snapToGrid w:val="0"/>
        <w:spacing w:after="120" w:line="240" w:lineRule="auto"/>
        <w:ind w:left="720" w:hanging="720"/>
        <w:rPr>
          <w:rFonts w:eastAsia="Times New Roman"/>
          <w:b w:val="0"/>
          <w:noProof w:val="0"/>
          <w:color w:val="auto"/>
          <w:sz w:val="20"/>
          <w:lang w:val="id-ID" w:eastAsia="ko-KR"/>
        </w:rPr>
      </w:pPr>
      <w:r w:rsidRPr="00C46882">
        <w:rPr>
          <w:rFonts w:eastAsia="Times New Roman"/>
          <w:b w:val="0"/>
          <w:noProof w:val="0"/>
          <w:color w:val="auto"/>
          <w:sz w:val="20"/>
          <w:lang w:val="id-ID" w:eastAsia="ko-KR"/>
        </w:rPr>
        <w:t xml:space="preserve">Dwijayanti, F., Mardiana, T., &amp; ... (2022). Pengaruh self-awareness dan komitmen organisasional terhadap kinerja guru SMP dengan variabel moderasi pendidikan dan pelatihan di Kecamatan Prambanan. </w:t>
      </w:r>
      <w:r w:rsidRPr="00C46882">
        <w:rPr>
          <w:rFonts w:eastAsia="Times New Roman"/>
          <w:b w:val="0"/>
          <w:i/>
          <w:iCs/>
          <w:noProof w:val="0"/>
          <w:color w:val="auto"/>
          <w:sz w:val="20"/>
          <w:lang w:val="id-ID" w:eastAsia="ko-KR"/>
        </w:rPr>
        <w:t>SIBATIK JOURNAL ...</w:t>
      </w:r>
      <w:r w:rsidRPr="00C46882">
        <w:rPr>
          <w:rFonts w:eastAsia="Times New Roman"/>
          <w:b w:val="0"/>
          <w:noProof w:val="0"/>
          <w:color w:val="auto"/>
          <w:sz w:val="20"/>
          <w:lang w:val="id-ID" w:eastAsia="ko-KR"/>
        </w:rPr>
        <w:t xml:space="preserve">. </w:t>
      </w:r>
      <w:hyperlink r:id="rId19" w:tgtFrame="_new" w:history="1">
        <w:r w:rsidRPr="00C46882">
          <w:rPr>
            <w:rFonts w:eastAsia="Times New Roman"/>
            <w:b w:val="0"/>
            <w:noProof w:val="0"/>
            <w:color w:val="0000FF"/>
            <w:sz w:val="20"/>
            <w:u w:val="single"/>
            <w:lang w:val="id-ID" w:eastAsia="ko-KR"/>
          </w:rPr>
          <w:t>https://www.publish.ojs-indonesia.com/index.php/SIBATIK/article/view/504</w:t>
        </w:r>
      </w:hyperlink>
    </w:p>
    <w:p w14:paraId="473F0BA0" w14:textId="77777777" w:rsidR="00C46882" w:rsidRPr="00C46882" w:rsidRDefault="00C46882" w:rsidP="00C46882">
      <w:pPr>
        <w:adjustRightInd w:val="0"/>
        <w:snapToGrid w:val="0"/>
        <w:spacing w:after="120" w:line="240" w:lineRule="auto"/>
        <w:ind w:left="720" w:hanging="720"/>
        <w:rPr>
          <w:rFonts w:eastAsia="Times New Roman"/>
          <w:b w:val="0"/>
          <w:noProof w:val="0"/>
          <w:color w:val="auto"/>
          <w:sz w:val="20"/>
          <w:lang w:val="id-ID" w:eastAsia="ko-KR"/>
        </w:rPr>
      </w:pPr>
      <w:r w:rsidRPr="00C46882">
        <w:rPr>
          <w:rFonts w:eastAsia="Times New Roman"/>
          <w:b w:val="0"/>
          <w:noProof w:val="0"/>
          <w:color w:val="auto"/>
          <w:sz w:val="20"/>
          <w:lang w:val="id-ID" w:eastAsia="ko-KR"/>
        </w:rPr>
        <w:t xml:space="preserve">Fauzian, R. (2019). </w:t>
      </w:r>
      <w:r w:rsidRPr="00C46882">
        <w:rPr>
          <w:rFonts w:eastAsia="Times New Roman"/>
          <w:b w:val="0"/>
          <w:i/>
          <w:iCs/>
          <w:noProof w:val="0"/>
          <w:color w:val="auto"/>
          <w:sz w:val="20"/>
          <w:lang w:val="id-ID" w:eastAsia="ko-KR"/>
        </w:rPr>
        <w:t>Pengantar pendidikan agama Islam untuk perguruan tinggi umum</w:t>
      </w:r>
      <w:r w:rsidRPr="00C46882">
        <w:rPr>
          <w:rFonts w:eastAsia="Times New Roman"/>
          <w:b w:val="0"/>
          <w:noProof w:val="0"/>
          <w:color w:val="auto"/>
          <w:sz w:val="20"/>
          <w:lang w:val="id-ID" w:eastAsia="ko-KR"/>
        </w:rPr>
        <w:t>. Farha Pustaka.</w:t>
      </w:r>
    </w:p>
    <w:p w14:paraId="58ADC819" w14:textId="77777777" w:rsidR="00C46882" w:rsidRPr="00C46882" w:rsidRDefault="00C46882" w:rsidP="00C46882">
      <w:pPr>
        <w:adjustRightInd w:val="0"/>
        <w:snapToGrid w:val="0"/>
        <w:spacing w:after="120" w:line="240" w:lineRule="auto"/>
        <w:ind w:left="720" w:hanging="720"/>
        <w:rPr>
          <w:rFonts w:eastAsia="Times New Roman"/>
          <w:b w:val="0"/>
          <w:noProof w:val="0"/>
          <w:color w:val="auto"/>
          <w:sz w:val="20"/>
          <w:lang w:val="id-ID" w:eastAsia="ko-KR"/>
        </w:rPr>
      </w:pPr>
      <w:r w:rsidRPr="00C46882">
        <w:rPr>
          <w:rFonts w:eastAsia="Times New Roman"/>
          <w:b w:val="0"/>
          <w:noProof w:val="0"/>
          <w:color w:val="auto"/>
          <w:sz w:val="20"/>
          <w:lang w:val="id-ID" w:eastAsia="ko-KR"/>
        </w:rPr>
        <w:t xml:space="preserve">Fawaid, A., Kholil, M., &amp; Dewi, N. A. R. (2024). The role of culturally-responsive gamification to improve multiethnic students’ self-engagement in Islamic education. </w:t>
      </w:r>
      <w:r w:rsidRPr="00C46882">
        <w:rPr>
          <w:rFonts w:eastAsia="Times New Roman"/>
          <w:b w:val="0"/>
          <w:i/>
          <w:iCs/>
          <w:noProof w:val="0"/>
          <w:color w:val="auto"/>
          <w:sz w:val="20"/>
          <w:lang w:val="id-ID" w:eastAsia="ko-KR"/>
        </w:rPr>
        <w:t>Al-Fikru: Jurnal Pendidikan Dan Sains, 5</w:t>
      </w:r>
      <w:r w:rsidRPr="00C46882">
        <w:rPr>
          <w:rFonts w:eastAsia="Times New Roman"/>
          <w:b w:val="0"/>
          <w:noProof w:val="0"/>
          <w:color w:val="auto"/>
          <w:sz w:val="20"/>
          <w:lang w:val="id-ID" w:eastAsia="ko-KR"/>
        </w:rPr>
        <w:t xml:space="preserve">(2), 267–275. </w:t>
      </w:r>
      <w:hyperlink r:id="rId20" w:tgtFrame="_new" w:history="1">
        <w:r w:rsidRPr="00C46882">
          <w:rPr>
            <w:rFonts w:eastAsia="Times New Roman"/>
            <w:b w:val="0"/>
            <w:noProof w:val="0"/>
            <w:color w:val="0000FF"/>
            <w:sz w:val="20"/>
            <w:u w:val="single"/>
            <w:lang w:val="id-ID" w:eastAsia="ko-KR"/>
          </w:rPr>
          <w:t>https://doi.org/10.55210/al-fikru.v5i2.1868</w:t>
        </w:r>
      </w:hyperlink>
    </w:p>
    <w:p w14:paraId="1DE25228" w14:textId="77777777" w:rsidR="00C46882" w:rsidRPr="00C46882" w:rsidRDefault="00C46882" w:rsidP="00C46882">
      <w:pPr>
        <w:adjustRightInd w:val="0"/>
        <w:snapToGrid w:val="0"/>
        <w:spacing w:after="120" w:line="240" w:lineRule="auto"/>
        <w:ind w:left="720" w:hanging="720"/>
        <w:rPr>
          <w:rFonts w:eastAsia="Times New Roman"/>
          <w:b w:val="0"/>
          <w:noProof w:val="0"/>
          <w:color w:val="auto"/>
          <w:sz w:val="20"/>
          <w:lang w:val="id-ID" w:eastAsia="ko-KR"/>
        </w:rPr>
      </w:pPr>
      <w:r w:rsidRPr="00C46882">
        <w:rPr>
          <w:rFonts w:eastAsia="Times New Roman"/>
          <w:b w:val="0"/>
          <w:noProof w:val="0"/>
          <w:color w:val="auto"/>
          <w:sz w:val="20"/>
          <w:lang w:val="id-ID" w:eastAsia="ko-KR"/>
        </w:rPr>
        <w:t xml:space="preserve">Gant, M., &amp; Luttbeg, N. (1987). The cognitive utility of partisanship. </w:t>
      </w:r>
      <w:r w:rsidRPr="00C46882">
        <w:rPr>
          <w:rFonts w:eastAsia="Times New Roman"/>
          <w:b w:val="0"/>
          <w:i/>
          <w:iCs/>
          <w:noProof w:val="0"/>
          <w:color w:val="auto"/>
          <w:sz w:val="20"/>
          <w:lang w:val="id-ID" w:eastAsia="ko-KR"/>
        </w:rPr>
        <w:t>Political Research Quarterly, 40</w:t>
      </w:r>
      <w:r w:rsidRPr="00C46882">
        <w:rPr>
          <w:rFonts w:eastAsia="Times New Roman"/>
          <w:b w:val="0"/>
          <w:noProof w:val="0"/>
          <w:color w:val="auto"/>
          <w:sz w:val="20"/>
          <w:lang w:val="id-ID" w:eastAsia="ko-KR"/>
        </w:rPr>
        <w:t xml:space="preserve">, 499–517. </w:t>
      </w:r>
      <w:hyperlink r:id="rId21" w:tgtFrame="_new" w:history="1">
        <w:r w:rsidRPr="00C46882">
          <w:rPr>
            <w:rFonts w:eastAsia="Times New Roman"/>
            <w:b w:val="0"/>
            <w:noProof w:val="0"/>
            <w:color w:val="0000FF"/>
            <w:sz w:val="20"/>
            <w:u w:val="single"/>
            <w:lang w:val="id-ID" w:eastAsia="ko-KR"/>
          </w:rPr>
          <w:t>https://doi.org/10.1177/106591298704000308</w:t>
        </w:r>
      </w:hyperlink>
    </w:p>
    <w:p w14:paraId="0E7691AA" w14:textId="77777777" w:rsidR="00C46882" w:rsidRPr="00C46882" w:rsidRDefault="00C46882" w:rsidP="00C46882">
      <w:pPr>
        <w:adjustRightInd w:val="0"/>
        <w:snapToGrid w:val="0"/>
        <w:spacing w:after="120" w:line="240" w:lineRule="auto"/>
        <w:ind w:left="720" w:hanging="720"/>
        <w:rPr>
          <w:rFonts w:eastAsia="Times New Roman"/>
          <w:b w:val="0"/>
          <w:noProof w:val="0"/>
          <w:color w:val="auto"/>
          <w:sz w:val="20"/>
          <w:lang w:val="id-ID" w:eastAsia="ko-KR"/>
        </w:rPr>
      </w:pPr>
      <w:r w:rsidRPr="00C46882">
        <w:rPr>
          <w:rFonts w:eastAsia="Times New Roman"/>
          <w:b w:val="0"/>
          <w:noProof w:val="0"/>
          <w:color w:val="auto"/>
          <w:sz w:val="20"/>
          <w:lang w:val="id-ID" w:eastAsia="ko-KR"/>
        </w:rPr>
        <w:t xml:space="preserve">Hendrik, D., Berlian, Z. E., &amp; Idi, A. (n.d.). Internalization of Islamic religious educational values through role playing methods in the learning of aqidah akhlak. </w:t>
      </w:r>
      <w:r w:rsidRPr="00C46882">
        <w:rPr>
          <w:rFonts w:eastAsia="Times New Roman"/>
          <w:b w:val="0"/>
          <w:i/>
          <w:iCs/>
          <w:noProof w:val="0"/>
          <w:color w:val="auto"/>
          <w:sz w:val="20"/>
          <w:lang w:val="id-ID" w:eastAsia="ko-KR"/>
        </w:rPr>
        <w:t>Edukasi Islami: Jurnal Pendidikan Islam, 12</w:t>
      </w:r>
      <w:r w:rsidRPr="00C46882">
        <w:rPr>
          <w:rFonts w:eastAsia="Times New Roman"/>
          <w:b w:val="0"/>
          <w:noProof w:val="0"/>
          <w:color w:val="auto"/>
          <w:sz w:val="20"/>
          <w:lang w:val="id-ID" w:eastAsia="ko-KR"/>
        </w:rPr>
        <w:t>(4), 2933–2948. https://doi.org/10.30868/ei.v12i04.5101</w:t>
      </w:r>
    </w:p>
    <w:p w14:paraId="75BEE505" w14:textId="77777777" w:rsidR="00C46882" w:rsidRPr="00C46882" w:rsidRDefault="00C46882" w:rsidP="00C46882">
      <w:pPr>
        <w:adjustRightInd w:val="0"/>
        <w:snapToGrid w:val="0"/>
        <w:spacing w:after="120" w:line="240" w:lineRule="auto"/>
        <w:ind w:left="720" w:hanging="720"/>
        <w:rPr>
          <w:rFonts w:eastAsia="Times New Roman"/>
          <w:b w:val="0"/>
          <w:noProof w:val="0"/>
          <w:color w:val="auto"/>
          <w:sz w:val="20"/>
          <w:lang w:val="id-ID" w:eastAsia="ko-KR"/>
        </w:rPr>
      </w:pPr>
      <w:r w:rsidRPr="00C46882">
        <w:rPr>
          <w:rFonts w:eastAsia="Times New Roman"/>
          <w:b w:val="0"/>
          <w:noProof w:val="0"/>
          <w:color w:val="auto"/>
          <w:sz w:val="20"/>
          <w:lang w:val="id-ID" w:eastAsia="ko-KR"/>
        </w:rPr>
        <w:t xml:space="preserve">Mohd Zainudin, N. ‘Atieqah, &amp; Huda, M. (2024a). Strategic gamification for religious learning: An empirical literature review. </w:t>
      </w:r>
      <w:r w:rsidRPr="00C46882">
        <w:rPr>
          <w:rFonts w:eastAsia="Times New Roman"/>
          <w:b w:val="0"/>
          <w:i/>
          <w:iCs/>
          <w:noProof w:val="0"/>
          <w:color w:val="auto"/>
          <w:sz w:val="20"/>
          <w:lang w:val="id-ID" w:eastAsia="ko-KR"/>
        </w:rPr>
        <w:t>International Journal of Modern Education, 6</w:t>
      </w:r>
      <w:r w:rsidRPr="00C46882">
        <w:rPr>
          <w:rFonts w:eastAsia="Times New Roman"/>
          <w:b w:val="0"/>
          <w:noProof w:val="0"/>
          <w:color w:val="auto"/>
          <w:sz w:val="20"/>
          <w:lang w:val="id-ID" w:eastAsia="ko-KR"/>
        </w:rPr>
        <w:t xml:space="preserve">(23), 854–864. </w:t>
      </w:r>
      <w:hyperlink r:id="rId22" w:tgtFrame="_new" w:history="1">
        <w:r w:rsidRPr="00C46882">
          <w:rPr>
            <w:rFonts w:eastAsia="Times New Roman"/>
            <w:b w:val="0"/>
            <w:noProof w:val="0"/>
            <w:color w:val="0000FF"/>
            <w:sz w:val="20"/>
            <w:u w:val="single"/>
            <w:lang w:val="id-ID" w:eastAsia="ko-KR"/>
          </w:rPr>
          <w:t>https://doi.org/10.35631/ijmoe.623059</w:t>
        </w:r>
      </w:hyperlink>
    </w:p>
    <w:p w14:paraId="3764EED9" w14:textId="77777777" w:rsidR="00C46882" w:rsidRPr="00C46882" w:rsidRDefault="00C46882" w:rsidP="00C46882">
      <w:pPr>
        <w:adjustRightInd w:val="0"/>
        <w:snapToGrid w:val="0"/>
        <w:spacing w:after="120" w:line="240" w:lineRule="auto"/>
        <w:ind w:left="720" w:hanging="720"/>
        <w:rPr>
          <w:rFonts w:eastAsia="Times New Roman"/>
          <w:b w:val="0"/>
          <w:noProof w:val="0"/>
          <w:color w:val="auto"/>
          <w:sz w:val="20"/>
          <w:lang w:val="id-ID" w:eastAsia="ko-KR"/>
        </w:rPr>
      </w:pPr>
      <w:r w:rsidRPr="00C46882">
        <w:rPr>
          <w:rFonts w:eastAsia="Times New Roman"/>
          <w:b w:val="0"/>
          <w:noProof w:val="0"/>
          <w:color w:val="auto"/>
          <w:sz w:val="20"/>
          <w:lang w:val="id-ID" w:eastAsia="ko-KR"/>
        </w:rPr>
        <w:t xml:space="preserve">Mohd Zainudin, N. ‘Atieqah, &amp; Huda, M. (2024b). Strategic gamification for religious learning: An empirical literature review. </w:t>
      </w:r>
      <w:r w:rsidRPr="00C46882">
        <w:rPr>
          <w:rFonts w:eastAsia="Times New Roman"/>
          <w:b w:val="0"/>
          <w:i/>
          <w:iCs/>
          <w:noProof w:val="0"/>
          <w:color w:val="auto"/>
          <w:sz w:val="20"/>
          <w:lang w:val="id-ID" w:eastAsia="ko-KR"/>
        </w:rPr>
        <w:t>International Journal of Modern Education, 6</w:t>
      </w:r>
      <w:r w:rsidRPr="00C46882">
        <w:rPr>
          <w:rFonts w:eastAsia="Times New Roman"/>
          <w:b w:val="0"/>
          <w:noProof w:val="0"/>
          <w:color w:val="auto"/>
          <w:sz w:val="20"/>
          <w:lang w:val="id-ID" w:eastAsia="ko-KR"/>
        </w:rPr>
        <w:t xml:space="preserve">(23), 854–864. </w:t>
      </w:r>
      <w:hyperlink r:id="rId23" w:tgtFrame="_new" w:history="1">
        <w:r w:rsidRPr="00C46882">
          <w:rPr>
            <w:rFonts w:eastAsia="Times New Roman"/>
            <w:b w:val="0"/>
            <w:noProof w:val="0"/>
            <w:color w:val="0000FF"/>
            <w:sz w:val="20"/>
            <w:u w:val="single"/>
            <w:lang w:val="id-ID" w:eastAsia="ko-KR"/>
          </w:rPr>
          <w:t>https://doi.org/10.35631/ijmoe.623059</w:t>
        </w:r>
      </w:hyperlink>
    </w:p>
    <w:p w14:paraId="362BC264" w14:textId="77777777" w:rsidR="00C46882" w:rsidRPr="00C46882" w:rsidRDefault="00C46882" w:rsidP="00C46882">
      <w:pPr>
        <w:adjustRightInd w:val="0"/>
        <w:snapToGrid w:val="0"/>
        <w:spacing w:after="120" w:line="240" w:lineRule="auto"/>
        <w:ind w:left="720" w:hanging="720"/>
        <w:rPr>
          <w:rFonts w:eastAsia="Times New Roman"/>
          <w:b w:val="0"/>
          <w:noProof w:val="0"/>
          <w:color w:val="auto"/>
          <w:sz w:val="20"/>
          <w:lang w:val="id-ID" w:eastAsia="ko-KR"/>
        </w:rPr>
      </w:pPr>
      <w:r w:rsidRPr="00C46882">
        <w:rPr>
          <w:rFonts w:eastAsia="Times New Roman"/>
          <w:b w:val="0"/>
          <w:noProof w:val="0"/>
          <w:color w:val="auto"/>
          <w:sz w:val="20"/>
          <w:lang w:val="id-ID" w:eastAsia="ko-KR"/>
        </w:rPr>
        <w:t xml:space="preserve">Roach Anleu, S., Bergman Blix, S., Mack, K., &amp; Wettergren, Å. (2016). Observing judicial work and emotions: Using two researchers. </w:t>
      </w:r>
      <w:r w:rsidRPr="00C46882">
        <w:rPr>
          <w:rFonts w:eastAsia="Times New Roman"/>
          <w:b w:val="0"/>
          <w:i/>
          <w:iCs/>
          <w:noProof w:val="0"/>
          <w:color w:val="auto"/>
          <w:sz w:val="20"/>
          <w:lang w:val="id-ID" w:eastAsia="ko-KR"/>
        </w:rPr>
        <w:t>Qualitative Research, 16</w:t>
      </w:r>
      <w:r w:rsidRPr="00C46882">
        <w:rPr>
          <w:rFonts w:eastAsia="Times New Roman"/>
          <w:b w:val="0"/>
          <w:noProof w:val="0"/>
          <w:color w:val="auto"/>
          <w:sz w:val="20"/>
          <w:lang w:val="id-ID" w:eastAsia="ko-KR"/>
        </w:rPr>
        <w:t xml:space="preserve">(4), 375–391. </w:t>
      </w:r>
      <w:hyperlink r:id="rId24" w:tgtFrame="_new" w:history="1">
        <w:r w:rsidRPr="00C46882">
          <w:rPr>
            <w:rFonts w:eastAsia="Times New Roman"/>
            <w:b w:val="0"/>
            <w:noProof w:val="0"/>
            <w:color w:val="0000FF"/>
            <w:sz w:val="20"/>
            <w:u w:val="single"/>
            <w:lang w:val="id-ID" w:eastAsia="ko-KR"/>
          </w:rPr>
          <w:t>https://doi.org/10.1177/1468794115579475</w:t>
        </w:r>
      </w:hyperlink>
    </w:p>
    <w:p w14:paraId="47CD3BB6" w14:textId="77777777" w:rsidR="00C46882" w:rsidRPr="00C46882" w:rsidRDefault="00C46882" w:rsidP="00C46882">
      <w:pPr>
        <w:adjustRightInd w:val="0"/>
        <w:snapToGrid w:val="0"/>
        <w:spacing w:after="120" w:line="240" w:lineRule="auto"/>
        <w:ind w:left="720" w:hanging="720"/>
        <w:rPr>
          <w:rFonts w:eastAsia="Times New Roman"/>
          <w:b w:val="0"/>
          <w:noProof w:val="0"/>
          <w:color w:val="auto"/>
          <w:sz w:val="20"/>
          <w:lang w:val="id-ID" w:eastAsia="ko-KR"/>
        </w:rPr>
      </w:pPr>
      <w:r w:rsidRPr="00C46882">
        <w:rPr>
          <w:rFonts w:eastAsia="Times New Roman"/>
          <w:b w:val="0"/>
          <w:noProof w:val="0"/>
          <w:color w:val="auto"/>
          <w:sz w:val="20"/>
          <w:lang w:val="id-ID" w:eastAsia="ko-KR"/>
        </w:rPr>
        <w:t xml:space="preserve">Safroni, S., &amp; Hidayah, U. (2024). Strategi pembelajaran pendidikan agama Islam berbasis gamifikasi untuk meningkatkan motivasi belajar siswa. </w:t>
      </w:r>
      <w:r w:rsidRPr="00C46882">
        <w:rPr>
          <w:rFonts w:eastAsia="Times New Roman"/>
          <w:b w:val="0"/>
          <w:i/>
          <w:iCs/>
          <w:noProof w:val="0"/>
          <w:color w:val="auto"/>
          <w:sz w:val="20"/>
          <w:lang w:val="id-ID" w:eastAsia="ko-KR"/>
        </w:rPr>
        <w:t>AL-MUADDIB: Jurnal Kajian Ilmu Kependidikan, 6</w:t>
      </w:r>
      <w:r w:rsidRPr="00C46882">
        <w:rPr>
          <w:rFonts w:eastAsia="Times New Roman"/>
          <w:b w:val="0"/>
          <w:noProof w:val="0"/>
          <w:color w:val="auto"/>
          <w:sz w:val="20"/>
          <w:lang w:val="id-ID" w:eastAsia="ko-KR"/>
        </w:rPr>
        <w:t xml:space="preserve">(1), 424–436. </w:t>
      </w:r>
      <w:hyperlink r:id="rId25" w:tgtFrame="_new" w:history="1">
        <w:r w:rsidRPr="00C46882">
          <w:rPr>
            <w:rFonts w:eastAsia="Times New Roman"/>
            <w:b w:val="0"/>
            <w:noProof w:val="0"/>
            <w:color w:val="0000FF"/>
            <w:sz w:val="20"/>
            <w:u w:val="single"/>
            <w:lang w:val="id-ID" w:eastAsia="ko-KR"/>
          </w:rPr>
          <w:t>https://doi.org/10.46773/muaddib.v6i1.1131</w:t>
        </w:r>
      </w:hyperlink>
    </w:p>
    <w:p w14:paraId="2778969A" w14:textId="77777777" w:rsidR="00C46882" w:rsidRPr="00C46882" w:rsidRDefault="00C46882" w:rsidP="00C46882">
      <w:pPr>
        <w:adjustRightInd w:val="0"/>
        <w:snapToGrid w:val="0"/>
        <w:spacing w:after="120" w:line="240" w:lineRule="auto"/>
        <w:ind w:left="720" w:hanging="720"/>
        <w:rPr>
          <w:rFonts w:eastAsia="Times New Roman"/>
          <w:b w:val="0"/>
          <w:noProof w:val="0"/>
          <w:color w:val="auto"/>
          <w:sz w:val="20"/>
          <w:lang w:val="id-ID" w:eastAsia="ko-KR"/>
        </w:rPr>
      </w:pPr>
      <w:r w:rsidRPr="00C46882">
        <w:rPr>
          <w:rFonts w:eastAsia="Times New Roman"/>
          <w:b w:val="0"/>
          <w:noProof w:val="0"/>
          <w:color w:val="auto"/>
          <w:sz w:val="20"/>
          <w:lang w:val="id-ID" w:eastAsia="ko-KR"/>
        </w:rPr>
        <w:t xml:space="preserve">Sofiani, I. K., Nabila, N., Department of Tarbiyah Dan Keguruan. STAIN Bengkalis, Neviani, N., Department of Tarbiyah Dan Keguruan. STAIN Bengkalis, Syalini, S., &amp; Department of Tarbiyah Dan Keguruan. STAIN Bengkalis. (2024). Islamic educational thought in building students’ emotional intelligence. </w:t>
      </w:r>
      <w:r w:rsidRPr="00C46882">
        <w:rPr>
          <w:rFonts w:eastAsia="Times New Roman"/>
          <w:b w:val="0"/>
          <w:i/>
          <w:iCs/>
          <w:noProof w:val="0"/>
          <w:color w:val="auto"/>
          <w:sz w:val="20"/>
          <w:lang w:val="id-ID" w:eastAsia="ko-KR"/>
        </w:rPr>
        <w:t>International Journal of Innovative Research in Multidisciplinary Education, 03</w:t>
      </w:r>
      <w:r w:rsidRPr="00C46882">
        <w:rPr>
          <w:rFonts w:eastAsia="Times New Roman"/>
          <w:b w:val="0"/>
          <w:noProof w:val="0"/>
          <w:color w:val="auto"/>
          <w:sz w:val="20"/>
          <w:lang w:val="id-ID" w:eastAsia="ko-KR"/>
        </w:rPr>
        <w:t xml:space="preserve">(05). </w:t>
      </w:r>
      <w:hyperlink r:id="rId26" w:tgtFrame="_new" w:history="1">
        <w:r w:rsidRPr="00C46882">
          <w:rPr>
            <w:rFonts w:eastAsia="Times New Roman"/>
            <w:b w:val="0"/>
            <w:noProof w:val="0"/>
            <w:color w:val="0000FF"/>
            <w:sz w:val="20"/>
            <w:u w:val="single"/>
            <w:lang w:val="id-ID" w:eastAsia="ko-KR"/>
          </w:rPr>
          <w:t>https://doi.org/10.58806/ijirme.2024.v3i5n26</w:t>
        </w:r>
      </w:hyperlink>
    </w:p>
    <w:p w14:paraId="5836517C" w14:textId="77777777" w:rsidR="00C46882" w:rsidRPr="00C46882" w:rsidRDefault="00C46882" w:rsidP="00C46882">
      <w:pPr>
        <w:adjustRightInd w:val="0"/>
        <w:snapToGrid w:val="0"/>
        <w:spacing w:after="120" w:line="240" w:lineRule="auto"/>
        <w:ind w:left="720" w:hanging="720"/>
        <w:rPr>
          <w:rFonts w:eastAsia="Times New Roman"/>
          <w:b w:val="0"/>
          <w:noProof w:val="0"/>
          <w:color w:val="auto"/>
          <w:sz w:val="20"/>
          <w:lang w:val="id-ID" w:eastAsia="ko-KR"/>
        </w:rPr>
      </w:pPr>
      <w:r w:rsidRPr="00C46882">
        <w:rPr>
          <w:rFonts w:eastAsia="Times New Roman"/>
          <w:b w:val="0"/>
          <w:noProof w:val="0"/>
          <w:color w:val="auto"/>
          <w:sz w:val="20"/>
          <w:lang w:val="id-ID" w:eastAsia="ko-KR"/>
        </w:rPr>
        <w:t xml:space="preserve">Syaban Abdul Karim. (2024). The relationship between Islamic education and global ethics in building humanistic awareness in the post-truth era. </w:t>
      </w:r>
      <w:r w:rsidRPr="00C46882">
        <w:rPr>
          <w:rFonts w:eastAsia="Times New Roman"/>
          <w:b w:val="0"/>
          <w:i/>
          <w:iCs/>
          <w:noProof w:val="0"/>
          <w:color w:val="auto"/>
          <w:sz w:val="20"/>
          <w:lang w:val="id-ID" w:eastAsia="ko-KR"/>
        </w:rPr>
        <w:t>Spiritus: Religious Studies and Education Journal, 2</w:t>
      </w:r>
      <w:r w:rsidRPr="00C46882">
        <w:rPr>
          <w:rFonts w:eastAsia="Times New Roman"/>
          <w:b w:val="0"/>
          <w:noProof w:val="0"/>
          <w:color w:val="auto"/>
          <w:sz w:val="20"/>
          <w:lang w:val="id-ID" w:eastAsia="ko-KR"/>
        </w:rPr>
        <w:t xml:space="preserve">(2), 57–69. </w:t>
      </w:r>
      <w:hyperlink r:id="rId27" w:tgtFrame="_new" w:history="1">
        <w:r w:rsidRPr="00C46882">
          <w:rPr>
            <w:rFonts w:eastAsia="Times New Roman"/>
            <w:b w:val="0"/>
            <w:noProof w:val="0"/>
            <w:color w:val="0000FF"/>
            <w:sz w:val="20"/>
            <w:u w:val="single"/>
            <w:lang w:val="id-ID" w:eastAsia="ko-KR"/>
          </w:rPr>
          <w:t>https://doi.org/10.59923/spiritus.v2i2.130</w:t>
        </w:r>
      </w:hyperlink>
    </w:p>
    <w:p w14:paraId="36E0DD16" w14:textId="77777777" w:rsidR="00C46882" w:rsidRPr="00C46882" w:rsidRDefault="00C46882" w:rsidP="00C46882">
      <w:pPr>
        <w:adjustRightInd w:val="0"/>
        <w:snapToGrid w:val="0"/>
        <w:spacing w:after="120" w:line="240" w:lineRule="auto"/>
        <w:ind w:left="720" w:hanging="720"/>
        <w:rPr>
          <w:rFonts w:eastAsia="Times New Roman"/>
          <w:b w:val="0"/>
          <w:noProof w:val="0"/>
          <w:color w:val="auto"/>
          <w:sz w:val="20"/>
          <w:lang w:val="id-ID" w:eastAsia="ko-KR"/>
        </w:rPr>
      </w:pPr>
      <w:r w:rsidRPr="00C46882">
        <w:rPr>
          <w:rFonts w:eastAsia="Times New Roman"/>
          <w:b w:val="0"/>
          <w:noProof w:val="0"/>
          <w:color w:val="auto"/>
          <w:sz w:val="20"/>
          <w:lang w:val="id-ID" w:eastAsia="ko-KR"/>
        </w:rPr>
        <w:t xml:space="preserve">Zandniapour, L., &amp; Deterding, N. M. (2018). Lessons from the Social Innovation Fund: Supporting evaluation to assess program effectiveness and build a body of research evidence. </w:t>
      </w:r>
      <w:r w:rsidRPr="00C46882">
        <w:rPr>
          <w:rFonts w:eastAsia="Times New Roman"/>
          <w:b w:val="0"/>
          <w:i/>
          <w:iCs/>
          <w:noProof w:val="0"/>
          <w:color w:val="auto"/>
          <w:sz w:val="20"/>
          <w:lang w:val="id-ID" w:eastAsia="ko-KR"/>
        </w:rPr>
        <w:t>American Journal of Evaluation, 39</w:t>
      </w:r>
      <w:r w:rsidRPr="00C46882">
        <w:rPr>
          <w:rFonts w:eastAsia="Times New Roman"/>
          <w:b w:val="0"/>
          <w:noProof w:val="0"/>
          <w:color w:val="auto"/>
          <w:sz w:val="20"/>
          <w:lang w:val="id-ID" w:eastAsia="ko-KR"/>
        </w:rPr>
        <w:t xml:space="preserve">(1), 27–41. </w:t>
      </w:r>
      <w:hyperlink r:id="rId28" w:tgtFrame="_new" w:history="1">
        <w:r w:rsidRPr="00C46882">
          <w:rPr>
            <w:rFonts w:eastAsia="Times New Roman"/>
            <w:b w:val="0"/>
            <w:noProof w:val="0"/>
            <w:color w:val="0000FF"/>
            <w:sz w:val="20"/>
            <w:u w:val="single"/>
            <w:lang w:val="id-ID" w:eastAsia="ko-KR"/>
          </w:rPr>
          <w:t>https://doi.org/10.1177/1098214017734305</w:t>
        </w:r>
      </w:hyperlink>
    </w:p>
    <w:p w14:paraId="6B8E6311" w14:textId="77777777" w:rsidR="00C46882" w:rsidRPr="00C46882" w:rsidRDefault="00C46882" w:rsidP="00C46882">
      <w:pPr>
        <w:adjustRightInd w:val="0"/>
        <w:snapToGrid w:val="0"/>
        <w:spacing w:after="120" w:line="240" w:lineRule="auto"/>
        <w:ind w:left="720" w:hanging="720"/>
        <w:rPr>
          <w:rFonts w:eastAsia="Times New Roman"/>
          <w:b w:val="0"/>
          <w:noProof w:val="0"/>
          <w:color w:val="auto"/>
          <w:sz w:val="20"/>
          <w:lang w:val="id-ID" w:eastAsia="ko-KR"/>
        </w:rPr>
      </w:pPr>
      <w:r w:rsidRPr="00C46882">
        <w:rPr>
          <w:rFonts w:eastAsia="Times New Roman"/>
          <w:b w:val="0"/>
          <w:noProof w:val="0"/>
          <w:color w:val="auto"/>
          <w:sz w:val="20"/>
          <w:lang w:val="id-ID" w:eastAsia="ko-KR"/>
        </w:rPr>
        <w:t xml:space="preserve">Zourmpakis, A.-I., Kalogiannakis, M., &amp; Papadakis, S. (2023). Adaptive gamification in science education: An analysis of the impact of implementation and adapted game elements on students’ motivation. </w:t>
      </w:r>
      <w:r w:rsidRPr="00C46882">
        <w:rPr>
          <w:rFonts w:eastAsia="Times New Roman"/>
          <w:b w:val="0"/>
          <w:i/>
          <w:iCs/>
          <w:noProof w:val="0"/>
          <w:color w:val="auto"/>
          <w:sz w:val="20"/>
          <w:lang w:val="id-ID" w:eastAsia="ko-KR"/>
        </w:rPr>
        <w:t>Computers, 12</w:t>
      </w:r>
      <w:r w:rsidRPr="00C46882">
        <w:rPr>
          <w:rFonts w:eastAsia="Times New Roman"/>
          <w:b w:val="0"/>
          <w:noProof w:val="0"/>
          <w:color w:val="auto"/>
          <w:sz w:val="20"/>
          <w:lang w:val="id-ID" w:eastAsia="ko-KR"/>
        </w:rPr>
        <w:t xml:space="preserve">(7), 143. </w:t>
      </w:r>
      <w:hyperlink r:id="rId29" w:tgtFrame="_new" w:history="1">
        <w:r w:rsidRPr="00C46882">
          <w:rPr>
            <w:rFonts w:eastAsia="Times New Roman"/>
            <w:b w:val="0"/>
            <w:noProof w:val="0"/>
            <w:color w:val="0000FF"/>
            <w:sz w:val="20"/>
            <w:u w:val="single"/>
            <w:lang w:val="id-ID" w:eastAsia="ko-KR"/>
          </w:rPr>
          <w:t>https://doi.org/10.3390/computers12070143</w:t>
        </w:r>
      </w:hyperlink>
    </w:p>
    <w:p w14:paraId="5E066671" w14:textId="77777777" w:rsidR="00C46882" w:rsidRPr="00C46882" w:rsidRDefault="00C46882" w:rsidP="00C46882">
      <w:pPr>
        <w:pStyle w:val="heading1FAITH"/>
        <w:ind w:left="0"/>
      </w:pPr>
    </w:p>
    <w:sectPr w:rsidR="00C46882" w:rsidRPr="00C46882" w:rsidSect="00C46882">
      <w:headerReference w:type="even" r:id="rId30"/>
      <w:headerReference w:type="default" r:id="rId31"/>
      <w:footerReference w:type="even" r:id="rId32"/>
      <w:footerReference w:type="default" r:id="rId33"/>
      <w:headerReference w:type="first" r:id="rId34"/>
      <w:footerReference w:type="first" r:id="rId35"/>
      <w:pgSz w:w="11906" w:h="16838" w:code="9"/>
      <w:pgMar w:top="1417" w:right="720" w:bottom="1077" w:left="720" w:header="1020" w:footer="340" w:gutter="0"/>
      <w:pgNumType w:start="24"/>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C50A3" w14:textId="77777777" w:rsidR="00C37E49" w:rsidRDefault="00C37E49" w:rsidP="00CA760A">
      <w:pPr>
        <w:spacing w:line="240" w:lineRule="auto"/>
      </w:pPr>
      <w:r>
        <w:separator/>
      </w:r>
    </w:p>
  </w:endnote>
  <w:endnote w:type="continuationSeparator" w:id="0">
    <w:p w14:paraId="52275521" w14:textId="77777777" w:rsidR="00C37E49" w:rsidRDefault="00C37E49" w:rsidP="00CA76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29409" w14:textId="77777777" w:rsidR="009C2864" w:rsidRDefault="009C28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9B05C" w14:textId="77777777" w:rsidR="00343C36" w:rsidRPr="00662153" w:rsidRDefault="00343C36" w:rsidP="00B73058">
    <w:pPr>
      <w:pStyle w:val="Footer"/>
      <w:spacing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5B2D7" w14:textId="77777777" w:rsidR="00D41355" w:rsidRDefault="00D41355" w:rsidP="00D41355">
    <w:pPr>
      <w:pBdr>
        <w:top w:val="single" w:sz="4" w:space="0" w:color="000000"/>
      </w:pBdr>
      <w:tabs>
        <w:tab w:val="right" w:pos="8844"/>
      </w:tabs>
      <w:adjustRightInd w:val="0"/>
      <w:snapToGrid w:val="0"/>
      <w:spacing w:before="480" w:line="100" w:lineRule="exact"/>
      <w:jc w:val="left"/>
      <w:rPr>
        <w:i/>
        <w:sz w:val="16"/>
        <w:szCs w:val="16"/>
      </w:rPr>
    </w:pPr>
  </w:p>
  <w:p w14:paraId="6F3CDE3F" w14:textId="7A843577" w:rsidR="00343C36" w:rsidRPr="00D41355" w:rsidRDefault="00C46882" w:rsidP="00C46882">
    <w:pPr>
      <w:tabs>
        <w:tab w:val="right" w:pos="10466"/>
      </w:tabs>
      <w:adjustRightInd w:val="0"/>
      <w:snapToGrid w:val="0"/>
      <w:spacing w:line="240" w:lineRule="auto"/>
      <w:rPr>
        <w:sz w:val="16"/>
        <w:szCs w:val="16"/>
        <w:lang w:val="fr-CH"/>
      </w:rPr>
    </w:pPr>
    <w:r w:rsidRPr="00001821">
      <w:rPr>
        <w:bCs/>
        <w:iCs/>
        <w:sz w:val="16"/>
        <w:szCs w:val="16"/>
      </w:rPr>
      <w:t xml:space="preserve">DOI : </w:t>
    </w:r>
    <w:hyperlink r:id="rId1" w:history="1">
      <w:r w:rsidRPr="005170B6">
        <w:rPr>
          <w:rStyle w:val="Hyperlink"/>
          <w:sz w:val="16"/>
          <w:szCs w:val="14"/>
        </w:rPr>
        <w:t>https://doi.org/10.70062/icsshi.v2i2.7</w:t>
      </w:r>
      <w:r w:rsidRPr="005170B6">
        <w:rPr>
          <w:rStyle w:val="Hyperlink"/>
          <w:sz w:val="16"/>
          <w:szCs w:val="14"/>
        </w:rPr>
        <w:t>1</w:t>
      </w:r>
    </w:hyperlink>
    <w:r>
      <w:rPr>
        <w:sz w:val="16"/>
        <w:szCs w:val="14"/>
      </w:rPr>
      <w:t xml:space="preserve"> </w:t>
    </w:r>
    <w:r w:rsidRPr="00001821">
      <w:rPr>
        <w:bCs/>
        <w:iCs/>
        <w:sz w:val="16"/>
        <w:szCs w:val="16"/>
      </w:rPr>
      <w:t xml:space="preserve"> </w:t>
    </w:r>
    <w:r w:rsidRPr="00001821">
      <w:rPr>
        <w:sz w:val="16"/>
        <w:szCs w:val="16"/>
        <w:lang w:val="fr-CH"/>
      </w:rPr>
      <w:tab/>
    </w:r>
    <w:hyperlink r:id="rId2" w:history="1">
      <w:r w:rsidRPr="00001821">
        <w:rPr>
          <w:rStyle w:val="Hyperlink"/>
          <w:sz w:val="16"/>
          <w:szCs w:val="16"/>
          <w:lang w:val="fr-CH"/>
        </w:rPr>
        <w:t>https://prosiding.appisi.or.id/index.php/ICSSHI</w:t>
      </w:r>
    </w:hyperlink>
    <w:r>
      <w:rPr>
        <w:sz w:val="16"/>
        <w:szCs w:val="16"/>
        <w:lang w:val="fr-CH"/>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95329" w14:textId="77777777" w:rsidR="00C37E49" w:rsidRDefault="00C37E49" w:rsidP="00CA760A">
      <w:pPr>
        <w:spacing w:line="240" w:lineRule="auto"/>
      </w:pPr>
      <w:r>
        <w:separator/>
      </w:r>
    </w:p>
  </w:footnote>
  <w:footnote w:type="continuationSeparator" w:id="0">
    <w:p w14:paraId="39689C7E" w14:textId="77777777" w:rsidR="00C37E49" w:rsidRDefault="00C37E49" w:rsidP="00CA76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6D2C7" w14:textId="77777777" w:rsidR="00343C36" w:rsidRDefault="00343C36" w:rsidP="00B73058">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D26C4" w14:textId="4B8AEED8" w:rsidR="00D41355" w:rsidRPr="00C46882" w:rsidRDefault="00C46882" w:rsidP="00C46882">
    <w:pPr>
      <w:pBdr>
        <w:bottom w:val="single" w:sz="4" w:space="1" w:color="auto"/>
      </w:pBdr>
      <w:tabs>
        <w:tab w:val="right" w:pos="10466"/>
      </w:tabs>
      <w:adjustRightInd w:val="0"/>
      <w:snapToGrid w:val="0"/>
      <w:spacing w:line="240" w:lineRule="auto"/>
      <w:rPr>
        <w:sz w:val="16"/>
      </w:rPr>
    </w:pPr>
    <w:r w:rsidRPr="00001821">
      <w:rPr>
        <w:iCs/>
        <w:sz w:val="16"/>
      </w:rPr>
      <w:t xml:space="preserve">Proceeding of the International Conference on Social Sciences and Humanities Innovation 2025 , vol. 2, no. </w:t>
    </w:r>
    <w:r>
      <w:rPr>
        <w:iCs/>
        <w:sz w:val="16"/>
      </w:rPr>
      <w:t>2</w:t>
    </w:r>
    <w:r w:rsidRPr="00001821">
      <w:rPr>
        <w:iCs/>
        <w:sz w:val="16"/>
      </w:rPr>
      <w:t xml:space="preserve">, </w:t>
    </w:r>
    <w:r w:rsidR="00AC7986">
      <w:rPr>
        <w:iCs/>
        <w:sz w:val="16"/>
      </w:rPr>
      <w:t>Azis</w:t>
    </w:r>
    <w:r w:rsidRPr="00001821">
      <w:rPr>
        <w:iCs/>
        <w:sz w:val="16"/>
      </w:rPr>
      <w:t>, et al.</w:t>
    </w:r>
    <w:r w:rsidRPr="00001821">
      <w:rPr>
        <w:sz w:val="16"/>
      </w:rPr>
      <w:tab/>
    </w:r>
    <w:r w:rsidRPr="00001821">
      <w:rPr>
        <w:sz w:val="16"/>
      </w:rPr>
      <w:fldChar w:fldCharType="begin"/>
    </w:r>
    <w:r w:rsidRPr="00001821">
      <w:rPr>
        <w:sz w:val="16"/>
      </w:rPr>
      <w:instrText xml:space="preserve"> PAGE   \* MERGEFORMAT </w:instrText>
    </w:r>
    <w:r w:rsidRPr="00001821">
      <w:rPr>
        <w:sz w:val="16"/>
      </w:rPr>
      <w:fldChar w:fldCharType="separate"/>
    </w:r>
    <w:r>
      <w:rPr>
        <w:sz w:val="16"/>
      </w:rPr>
      <w:t>18</w:t>
    </w:r>
    <w:r w:rsidRPr="00001821">
      <w:rPr>
        <w:sz w:val="16"/>
      </w:rPr>
      <w:fldChar w:fldCharType="end"/>
    </w:r>
    <w:r w:rsidRPr="00001821">
      <w:rPr>
        <w:sz w:val="16"/>
      </w:rPr>
      <w:t xml:space="preserve"> of </w:t>
    </w:r>
    <w:r>
      <w:rPr>
        <w:sz w:val="16"/>
      </w:rPr>
      <w:t>30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tblCellMar>
        <w:left w:w="0" w:type="dxa"/>
        <w:right w:w="0" w:type="dxa"/>
      </w:tblCellMar>
      <w:tblLook w:val="04A0" w:firstRow="1" w:lastRow="0" w:firstColumn="1" w:lastColumn="0" w:noHBand="0" w:noVBand="1"/>
    </w:tblPr>
    <w:tblGrid>
      <w:gridCol w:w="2127"/>
      <w:gridCol w:w="6520"/>
      <w:gridCol w:w="1843"/>
    </w:tblGrid>
    <w:tr w:rsidR="00F11F4D" w:rsidRPr="00EB5093" w14:paraId="5898413E" w14:textId="77777777" w:rsidTr="00F82CB6">
      <w:trPr>
        <w:trHeight w:val="1276"/>
      </w:trPr>
      <w:tc>
        <w:tcPr>
          <w:tcW w:w="2127" w:type="dxa"/>
          <w:vAlign w:val="center"/>
        </w:tcPr>
        <w:p w14:paraId="35B98587" w14:textId="783CC082" w:rsidR="00343C36" w:rsidRPr="003C6618" w:rsidRDefault="00214413" w:rsidP="00BF7085">
          <w:pPr>
            <w:pStyle w:val="Header"/>
            <w:pBdr>
              <w:bottom w:val="none" w:sz="0" w:space="0" w:color="auto"/>
            </w:pBdr>
            <w:tabs>
              <w:tab w:val="clear" w:pos="4153"/>
              <w:tab w:val="clear" w:pos="8306"/>
            </w:tabs>
            <w:jc w:val="left"/>
            <w:rPr>
              <w:rFonts w:eastAsia="DengXian"/>
              <w:b w:val="0"/>
              <w:bCs/>
            </w:rPr>
          </w:pPr>
          <w:r>
            <w:drawing>
              <wp:anchor distT="0" distB="0" distL="114300" distR="114300" simplePos="0" relativeHeight="251663872" behindDoc="1" locked="0" layoutInCell="1" allowOverlap="1" wp14:anchorId="7E81CBB3" wp14:editId="22392A5D">
                <wp:simplePos x="0" y="0"/>
                <wp:positionH relativeFrom="column">
                  <wp:posOffset>190500</wp:posOffset>
                </wp:positionH>
                <wp:positionV relativeFrom="paragraph">
                  <wp:posOffset>26035</wp:posOffset>
                </wp:positionV>
                <wp:extent cx="1151255" cy="207010"/>
                <wp:effectExtent l="0" t="0" r="0" b="254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51255" cy="2070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520" w:type="dxa"/>
          <w:vAlign w:val="center"/>
        </w:tcPr>
        <w:p w14:paraId="2944674F" w14:textId="71157103" w:rsidR="00343C36" w:rsidRPr="002F6949" w:rsidRDefault="00E925C9" w:rsidP="00212599">
          <w:pPr>
            <w:pStyle w:val="Header"/>
            <w:pBdr>
              <w:bottom w:val="none" w:sz="0" w:space="0" w:color="auto"/>
            </w:pBdr>
            <w:tabs>
              <w:tab w:val="clear" w:pos="4153"/>
              <w:tab w:val="clear" w:pos="8306"/>
            </w:tabs>
            <w:ind w:left="-5"/>
            <w:rPr>
              <w:rFonts w:eastAsia="DengXian"/>
              <w:sz w:val="36"/>
              <w:szCs w:val="36"/>
            </w:rPr>
          </w:pPr>
          <w:r w:rsidRPr="00E925C9">
            <w:rPr>
              <w:rFonts w:eastAsia="DengXian"/>
              <w:color w:val="auto"/>
              <w:sz w:val="36"/>
              <w:szCs w:val="36"/>
            </w:rPr>
            <w:t>Proceeding of the International Conference on Social Sciences and Humanities Innovation</w:t>
          </w:r>
        </w:p>
      </w:tc>
      <w:tc>
        <w:tcPr>
          <w:tcW w:w="1843" w:type="dxa"/>
          <w:vAlign w:val="center"/>
        </w:tcPr>
        <w:p w14:paraId="0A5EE1FA" w14:textId="76CDB53F" w:rsidR="00D41355" w:rsidRDefault="00F1117F" w:rsidP="004C7F6C">
          <w:pPr>
            <w:pStyle w:val="Header"/>
            <w:pBdr>
              <w:bottom w:val="none" w:sz="0" w:space="0" w:color="auto"/>
            </w:pBdr>
            <w:jc w:val="right"/>
            <w:rPr>
              <w:rFonts w:eastAsia="DengXian"/>
              <w:b w:val="0"/>
              <w:bCs/>
              <w:sz w:val="18"/>
              <w:szCs w:val="14"/>
            </w:rPr>
          </w:pPr>
          <w:r>
            <w:rPr>
              <w:b w:val="0"/>
              <w:bCs/>
              <w:sz w:val="18"/>
              <w:szCs w:val="14"/>
            </w:rPr>
            <w:t>E</w:t>
          </w:r>
          <w:r w:rsidR="000478B1" w:rsidRPr="00EB5093">
            <w:rPr>
              <w:b w:val="0"/>
              <w:bCs/>
              <w:sz w:val="18"/>
              <w:szCs w:val="14"/>
            </w:rPr>
            <w:t>-</w:t>
          </w:r>
          <w:r w:rsidR="000478B1" w:rsidRPr="00EB5093">
            <w:rPr>
              <w:rFonts w:eastAsia="DengXian"/>
              <w:b w:val="0"/>
              <w:bCs/>
              <w:sz w:val="18"/>
              <w:szCs w:val="14"/>
            </w:rPr>
            <w:t>ISSN:</w:t>
          </w:r>
          <w:r w:rsidR="000478B1" w:rsidRPr="00EB5093">
            <w:rPr>
              <w:sz w:val="18"/>
              <w:szCs w:val="14"/>
            </w:rPr>
            <w:t xml:space="preserve"> </w:t>
          </w:r>
          <w:r w:rsidR="009C2864" w:rsidRPr="009C2864">
            <w:rPr>
              <w:b w:val="0"/>
              <w:bCs/>
              <w:sz w:val="18"/>
              <w:szCs w:val="14"/>
            </w:rPr>
            <w:t>3089</w:t>
          </w:r>
          <w:r w:rsidR="007913E7" w:rsidRPr="007913E7">
            <w:rPr>
              <w:rFonts w:eastAsia="DengXian"/>
              <w:b w:val="0"/>
              <w:bCs/>
              <w:sz w:val="18"/>
              <w:szCs w:val="14"/>
            </w:rPr>
            <w:t>-</w:t>
          </w:r>
          <w:r w:rsidR="009C2864">
            <w:rPr>
              <w:rFonts w:eastAsia="DengXian"/>
              <w:b w:val="0"/>
              <w:bCs/>
              <w:sz w:val="18"/>
              <w:szCs w:val="14"/>
            </w:rPr>
            <w:t>8250</w:t>
          </w:r>
        </w:p>
        <w:p w14:paraId="403BFE51" w14:textId="6D683104" w:rsidR="007913E7" w:rsidRPr="00EB5093" w:rsidRDefault="007913E7" w:rsidP="007913E7">
          <w:pPr>
            <w:pStyle w:val="Header"/>
            <w:pBdr>
              <w:bottom w:val="none" w:sz="0" w:space="0" w:color="auto"/>
            </w:pBdr>
            <w:jc w:val="right"/>
            <w:rPr>
              <w:rFonts w:eastAsia="DengXian"/>
              <w:b w:val="0"/>
              <w:bCs/>
              <w:sz w:val="18"/>
              <w:szCs w:val="14"/>
            </w:rPr>
          </w:pPr>
          <w:r>
            <w:rPr>
              <w:b w:val="0"/>
              <w:bCs/>
              <w:sz w:val="18"/>
              <w:szCs w:val="14"/>
            </w:rPr>
            <w:t>P</w:t>
          </w:r>
          <w:r w:rsidRPr="00EB5093">
            <w:rPr>
              <w:b w:val="0"/>
              <w:bCs/>
              <w:sz w:val="18"/>
              <w:szCs w:val="14"/>
            </w:rPr>
            <w:t>-</w:t>
          </w:r>
          <w:r w:rsidRPr="00EB5093">
            <w:rPr>
              <w:rFonts w:eastAsia="DengXian"/>
              <w:b w:val="0"/>
              <w:bCs/>
              <w:sz w:val="18"/>
              <w:szCs w:val="14"/>
            </w:rPr>
            <w:t>ISSN:</w:t>
          </w:r>
          <w:r w:rsidRPr="00EB5093">
            <w:rPr>
              <w:sz w:val="18"/>
              <w:szCs w:val="14"/>
            </w:rPr>
            <w:t xml:space="preserve"> </w:t>
          </w:r>
          <w:r w:rsidR="009C2864" w:rsidRPr="009C2864">
            <w:rPr>
              <w:b w:val="0"/>
              <w:bCs/>
              <w:sz w:val="18"/>
              <w:szCs w:val="14"/>
            </w:rPr>
            <w:t>3089</w:t>
          </w:r>
          <w:r w:rsidRPr="007913E7">
            <w:rPr>
              <w:rFonts w:eastAsia="DengXian"/>
              <w:b w:val="0"/>
              <w:bCs/>
              <w:sz w:val="18"/>
              <w:szCs w:val="14"/>
            </w:rPr>
            <w:t>-</w:t>
          </w:r>
          <w:r w:rsidR="009C2864">
            <w:rPr>
              <w:rFonts w:eastAsia="DengXian"/>
              <w:b w:val="0"/>
              <w:bCs/>
              <w:sz w:val="18"/>
              <w:szCs w:val="14"/>
            </w:rPr>
            <w:t>5154</w:t>
          </w:r>
        </w:p>
      </w:tc>
    </w:tr>
  </w:tbl>
  <w:p w14:paraId="640BBCDD" w14:textId="289A6D1D" w:rsidR="00343C36" w:rsidRPr="00D17B3D" w:rsidRDefault="00343C36" w:rsidP="00D41355">
    <w:pPr>
      <w:pBdr>
        <w:bottom w:val="single" w:sz="4" w:space="0"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68F5"/>
    <w:multiLevelType w:val="hybridMultilevel"/>
    <w:tmpl w:val="F0742802"/>
    <w:lvl w:ilvl="0" w:tplc="8EC6D272">
      <w:start w:val="1"/>
      <w:numFmt w:val="decimal"/>
      <w:lvlRestart w:val="0"/>
      <w:pStyle w:val="numberingFAITH"/>
      <w:lvlText w:val="%1."/>
      <w:lvlJc w:val="left"/>
      <w:pPr>
        <w:ind w:left="3033"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6E6E3C"/>
    <w:multiLevelType w:val="hybridMultilevel"/>
    <w:tmpl w:val="E1062038"/>
    <w:lvl w:ilvl="0" w:tplc="057CD24A">
      <w:start w:val="1"/>
      <w:numFmt w:val="bullet"/>
      <w:lvlRestart w:val="0"/>
      <w:pStyle w:val="bulletFAITH"/>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1E6656D6"/>
    <w:multiLevelType w:val="hybridMultilevel"/>
    <w:tmpl w:val="D5884846"/>
    <w:lvl w:ilvl="0" w:tplc="2CA41286">
      <w:start w:val="1"/>
      <w:numFmt w:val="decimal"/>
      <w:pStyle w:val="algorithmstepFAITH"/>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015768F"/>
    <w:multiLevelType w:val="hybridMultilevel"/>
    <w:tmpl w:val="D7800388"/>
    <w:lvl w:ilvl="0" w:tplc="7A92D842">
      <w:start w:val="1"/>
      <w:numFmt w:val="decimal"/>
      <w:lvlText w:val="%1."/>
      <w:lvlJc w:val="left"/>
      <w:pPr>
        <w:ind w:left="2968" w:hanging="360"/>
      </w:pPr>
      <w:rPr>
        <w:rFonts w:hint="default"/>
      </w:rPr>
    </w:lvl>
    <w:lvl w:ilvl="1" w:tplc="04210019" w:tentative="1">
      <w:start w:val="1"/>
      <w:numFmt w:val="lowerLetter"/>
      <w:lvlText w:val="%2."/>
      <w:lvlJc w:val="left"/>
      <w:pPr>
        <w:ind w:left="3688" w:hanging="360"/>
      </w:pPr>
    </w:lvl>
    <w:lvl w:ilvl="2" w:tplc="0421001B" w:tentative="1">
      <w:start w:val="1"/>
      <w:numFmt w:val="lowerRoman"/>
      <w:lvlText w:val="%3."/>
      <w:lvlJc w:val="right"/>
      <w:pPr>
        <w:ind w:left="4408" w:hanging="180"/>
      </w:pPr>
    </w:lvl>
    <w:lvl w:ilvl="3" w:tplc="0421000F" w:tentative="1">
      <w:start w:val="1"/>
      <w:numFmt w:val="decimal"/>
      <w:lvlText w:val="%4."/>
      <w:lvlJc w:val="left"/>
      <w:pPr>
        <w:ind w:left="5128" w:hanging="360"/>
      </w:pPr>
    </w:lvl>
    <w:lvl w:ilvl="4" w:tplc="04210019" w:tentative="1">
      <w:start w:val="1"/>
      <w:numFmt w:val="lowerLetter"/>
      <w:lvlText w:val="%5."/>
      <w:lvlJc w:val="left"/>
      <w:pPr>
        <w:ind w:left="5848" w:hanging="360"/>
      </w:pPr>
    </w:lvl>
    <w:lvl w:ilvl="5" w:tplc="0421001B" w:tentative="1">
      <w:start w:val="1"/>
      <w:numFmt w:val="lowerRoman"/>
      <w:lvlText w:val="%6."/>
      <w:lvlJc w:val="right"/>
      <w:pPr>
        <w:ind w:left="6568" w:hanging="180"/>
      </w:pPr>
    </w:lvl>
    <w:lvl w:ilvl="6" w:tplc="0421000F" w:tentative="1">
      <w:start w:val="1"/>
      <w:numFmt w:val="decimal"/>
      <w:lvlText w:val="%7."/>
      <w:lvlJc w:val="left"/>
      <w:pPr>
        <w:ind w:left="7288" w:hanging="360"/>
      </w:pPr>
    </w:lvl>
    <w:lvl w:ilvl="7" w:tplc="04210019" w:tentative="1">
      <w:start w:val="1"/>
      <w:numFmt w:val="lowerLetter"/>
      <w:lvlText w:val="%8."/>
      <w:lvlJc w:val="left"/>
      <w:pPr>
        <w:ind w:left="8008" w:hanging="360"/>
      </w:pPr>
    </w:lvl>
    <w:lvl w:ilvl="8" w:tplc="0421001B" w:tentative="1">
      <w:start w:val="1"/>
      <w:numFmt w:val="lowerRoman"/>
      <w:lvlText w:val="%9."/>
      <w:lvlJc w:val="right"/>
      <w:pPr>
        <w:ind w:left="8728" w:hanging="180"/>
      </w:pPr>
    </w:lvl>
  </w:abstractNum>
  <w:num w:numId="1" w16cid:durableId="343360673">
    <w:abstractNumId w:val="0"/>
  </w:num>
  <w:num w:numId="2" w16cid:durableId="1820032036">
    <w:abstractNumId w:val="1"/>
  </w:num>
  <w:num w:numId="3" w16cid:durableId="1487866667">
    <w:abstractNumId w:val="2"/>
  </w:num>
  <w:num w:numId="4" w16cid:durableId="8774277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60A"/>
    <w:rsid w:val="00006635"/>
    <w:rsid w:val="00010BDE"/>
    <w:rsid w:val="00034C0C"/>
    <w:rsid w:val="00045759"/>
    <w:rsid w:val="000478B1"/>
    <w:rsid w:val="00053EF1"/>
    <w:rsid w:val="00061BFB"/>
    <w:rsid w:val="000631C8"/>
    <w:rsid w:val="00086FAC"/>
    <w:rsid w:val="00090B5C"/>
    <w:rsid w:val="000A3D96"/>
    <w:rsid w:val="000B724B"/>
    <w:rsid w:val="000C4619"/>
    <w:rsid w:val="000C69D0"/>
    <w:rsid w:val="000D4C8C"/>
    <w:rsid w:val="000E4039"/>
    <w:rsid w:val="00115424"/>
    <w:rsid w:val="00116D39"/>
    <w:rsid w:val="00125CD1"/>
    <w:rsid w:val="001330BD"/>
    <w:rsid w:val="001349FF"/>
    <w:rsid w:val="00146C6E"/>
    <w:rsid w:val="001676F0"/>
    <w:rsid w:val="00181409"/>
    <w:rsid w:val="001A0D15"/>
    <w:rsid w:val="001B288C"/>
    <w:rsid w:val="001B6BAF"/>
    <w:rsid w:val="001D7E9C"/>
    <w:rsid w:val="001F39E1"/>
    <w:rsid w:val="00212599"/>
    <w:rsid w:val="00214413"/>
    <w:rsid w:val="002266F6"/>
    <w:rsid w:val="002300E0"/>
    <w:rsid w:val="00254BA2"/>
    <w:rsid w:val="0028010F"/>
    <w:rsid w:val="00280F57"/>
    <w:rsid w:val="002843E0"/>
    <w:rsid w:val="00287C27"/>
    <w:rsid w:val="002C7BB4"/>
    <w:rsid w:val="00316574"/>
    <w:rsid w:val="00343C36"/>
    <w:rsid w:val="003573C1"/>
    <w:rsid w:val="003576C4"/>
    <w:rsid w:val="0037574C"/>
    <w:rsid w:val="003B3CAF"/>
    <w:rsid w:val="003D7EA0"/>
    <w:rsid w:val="003F1A9F"/>
    <w:rsid w:val="003F3803"/>
    <w:rsid w:val="00402C18"/>
    <w:rsid w:val="00403010"/>
    <w:rsid w:val="0042218A"/>
    <w:rsid w:val="00431C7C"/>
    <w:rsid w:val="0044356E"/>
    <w:rsid w:val="00447195"/>
    <w:rsid w:val="00462DF4"/>
    <w:rsid w:val="00481FEC"/>
    <w:rsid w:val="0048763C"/>
    <w:rsid w:val="004A62DD"/>
    <w:rsid w:val="004C7F6C"/>
    <w:rsid w:val="004D5105"/>
    <w:rsid w:val="004E1F9A"/>
    <w:rsid w:val="004F2A43"/>
    <w:rsid w:val="005018E2"/>
    <w:rsid w:val="00510D07"/>
    <w:rsid w:val="0051343F"/>
    <w:rsid w:val="005139D2"/>
    <w:rsid w:val="00533C6E"/>
    <w:rsid w:val="005366E7"/>
    <w:rsid w:val="00573C35"/>
    <w:rsid w:val="005977B8"/>
    <w:rsid w:val="005B00C5"/>
    <w:rsid w:val="005B0326"/>
    <w:rsid w:val="005C462B"/>
    <w:rsid w:val="005C4BB3"/>
    <w:rsid w:val="005E5775"/>
    <w:rsid w:val="005E6D73"/>
    <w:rsid w:val="006124C9"/>
    <w:rsid w:val="006712CC"/>
    <w:rsid w:val="006757A9"/>
    <w:rsid w:val="00687E20"/>
    <w:rsid w:val="006924CC"/>
    <w:rsid w:val="006928A6"/>
    <w:rsid w:val="006941EB"/>
    <w:rsid w:val="006955ED"/>
    <w:rsid w:val="006A19B5"/>
    <w:rsid w:val="006A4BA0"/>
    <w:rsid w:val="006A4D10"/>
    <w:rsid w:val="006A6CFF"/>
    <w:rsid w:val="006B486A"/>
    <w:rsid w:val="006C0F02"/>
    <w:rsid w:val="006D61B5"/>
    <w:rsid w:val="006E14D7"/>
    <w:rsid w:val="006E31BD"/>
    <w:rsid w:val="006F4E71"/>
    <w:rsid w:val="0070549C"/>
    <w:rsid w:val="00711025"/>
    <w:rsid w:val="00722A7B"/>
    <w:rsid w:val="00723940"/>
    <w:rsid w:val="00743CC6"/>
    <w:rsid w:val="00757BB8"/>
    <w:rsid w:val="00790DCF"/>
    <w:rsid w:val="007913E7"/>
    <w:rsid w:val="00795BEC"/>
    <w:rsid w:val="007F4639"/>
    <w:rsid w:val="007F6746"/>
    <w:rsid w:val="008029B9"/>
    <w:rsid w:val="00807725"/>
    <w:rsid w:val="00810526"/>
    <w:rsid w:val="0083380A"/>
    <w:rsid w:val="008643EE"/>
    <w:rsid w:val="00885AE4"/>
    <w:rsid w:val="00886A15"/>
    <w:rsid w:val="008B6B31"/>
    <w:rsid w:val="008D6C99"/>
    <w:rsid w:val="008E0034"/>
    <w:rsid w:val="008F71E0"/>
    <w:rsid w:val="008F7767"/>
    <w:rsid w:val="00904A81"/>
    <w:rsid w:val="00913910"/>
    <w:rsid w:val="00920AD5"/>
    <w:rsid w:val="0096255F"/>
    <w:rsid w:val="009770D1"/>
    <w:rsid w:val="009B4DDE"/>
    <w:rsid w:val="009C1B80"/>
    <w:rsid w:val="009C2864"/>
    <w:rsid w:val="009D42B2"/>
    <w:rsid w:val="00A00B96"/>
    <w:rsid w:val="00A111C7"/>
    <w:rsid w:val="00A211FC"/>
    <w:rsid w:val="00A7274A"/>
    <w:rsid w:val="00A81705"/>
    <w:rsid w:val="00A93202"/>
    <w:rsid w:val="00AA4F1D"/>
    <w:rsid w:val="00AC3FD2"/>
    <w:rsid w:val="00AC7986"/>
    <w:rsid w:val="00AD0965"/>
    <w:rsid w:val="00AD596D"/>
    <w:rsid w:val="00B20199"/>
    <w:rsid w:val="00B439BC"/>
    <w:rsid w:val="00B664E5"/>
    <w:rsid w:val="00B66C10"/>
    <w:rsid w:val="00BC0809"/>
    <w:rsid w:val="00BE309A"/>
    <w:rsid w:val="00BF645A"/>
    <w:rsid w:val="00C07E76"/>
    <w:rsid w:val="00C132D2"/>
    <w:rsid w:val="00C1614F"/>
    <w:rsid w:val="00C20BEA"/>
    <w:rsid w:val="00C22208"/>
    <w:rsid w:val="00C315DA"/>
    <w:rsid w:val="00C37C1A"/>
    <w:rsid w:val="00C37E49"/>
    <w:rsid w:val="00C46882"/>
    <w:rsid w:val="00C5579F"/>
    <w:rsid w:val="00C6760F"/>
    <w:rsid w:val="00C816C2"/>
    <w:rsid w:val="00C83FF2"/>
    <w:rsid w:val="00C91A2E"/>
    <w:rsid w:val="00CA760A"/>
    <w:rsid w:val="00CD6C61"/>
    <w:rsid w:val="00CF2B51"/>
    <w:rsid w:val="00D17059"/>
    <w:rsid w:val="00D238FC"/>
    <w:rsid w:val="00D41355"/>
    <w:rsid w:val="00D92BB1"/>
    <w:rsid w:val="00DB705D"/>
    <w:rsid w:val="00DC134F"/>
    <w:rsid w:val="00DC263A"/>
    <w:rsid w:val="00DE6F07"/>
    <w:rsid w:val="00DE7435"/>
    <w:rsid w:val="00E255BE"/>
    <w:rsid w:val="00E329FD"/>
    <w:rsid w:val="00E32A2D"/>
    <w:rsid w:val="00E3773B"/>
    <w:rsid w:val="00E420D3"/>
    <w:rsid w:val="00E550CD"/>
    <w:rsid w:val="00E83E73"/>
    <w:rsid w:val="00E84172"/>
    <w:rsid w:val="00E925C9"/>
    <w:rsid w:val="00EB0DCA"/>
    <w:rsid w:val="00EB1699"/>
    <w:rsid w:val="00EC5130"/>
    <w:rsid w:val="00F1117F"/>
    <w:rsid w:val="00F127F0"/>
    <w:rsid w:val="00F27614"/>
    <w:rsid w:val="00F5106B"/>
    <w:rsid w:val="00F539D0"/>
    <w:rsid w:val="00F82CB6"/>
    <w:rsid w:val="00FA26F2"/>
    <w:rsid w:val="00FA55E4"/>
    <w:rsid w:val="00FB2004"/>
    <w:rsid w:val="00FC22FF"/>
    <w:rsid w:val="00FC655B"/>
    <w:rsid w:val="00FD4D6C"/>
    <w:rsid w:val="00FD5E6B"/>
    <w:rsid w:val="00FE5F7D"/>
    <w:rsid w:val="00FF716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D70AC"/>
  <w15:chartTrackingRefBased/>
  <w15:docId w15:val="{873A7635-FCAA-4478-AB0D-2531CB0B2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endix_FAITH"/>
    <w:qFormat/>
    <w:rsid w:val="00CA760A"/>
    <w:pPr>
      <w:spacing w:line="260" w:lineRule="atLeast"/>
      <w:jc w:val="both"/>
    </w:pPr>
    <w:rPr>
      <w:rFonts w:ascii="Garamond" w:eastAsia="SimSun" w:hAnsi="Garamond"/>
      <w:b/>
      <w:noProof/>
      <w:color w:val="000000"/>
      <w:sz w:val="22"/>
      <w:lang w:eastAsia="zh-CN"/>
    </w:rPr>
  </w:style>
  <w:style w:type="paragraph" w:styleId="Judul1">
    <w:name w:val="heading 1"/>
    <w:basedOn w:val="Normal"/>
    <w:next w:val="Normal"/>
    <w:link w:val="Judul1KAR"/>
    <w:uiPriority w:val="9"/>
    <w:qFormat/>
    <w:rsid w:val="00CA760A"/>
    <w:pPr>
      <w:keepNext/>
      <w:keepLines/>
      <w:spacing w:before="360" w:after="80"/>
      <w:outlineLvl w:val="0"/>
    </w:pPr>
    <w:rPr>
      <w:rFonts w:ascii="Calibri Light" w:eastAsia="Times New Roman" w:hAnsi="Calibri Light"/>
      <w:color w:val="2F5496"/>
      <w:sz w:val="40"/>
      <w:szCs w:val="40"/>
    </w:rPr>
  </w:style>
  <w:style w:type="paragraph" w:styleId="Judul2">
    <w:name w:val="heading 2"/>
    <w:basedOn w:val="Normal"/>
    <w:next w:val="Normal"/>
    <w:link w:val="Judul2KAR"/>
    <w:uiPriority w:val="9"/>
    <w:semiHidden/>
    <w:unhideWhenUsed/>
    <w:qFormat/>
    <w:rsid w:val="00CA760A"/>
    <w:pPr>
      <w:keepNext/>
      <w:keepLines/>
      <w:spacing w:before="160" w:after="80"/>
      <w:outlineLvl w:val="1"/>
    </w:pPr>
    <w:rPr>
      <w:rFonts w:ascii="Calibri Light" w:eastAsia="Times New Roman" w:hAnsi="Calibri Light"/>
      <w:color w:val="2F5496"/>
      <w:sz w:val="32"/>
      <w:szCs w:val="32"/>
    </w:rPr>
  </w:style>
  <w:style w:type="paragraph" w:styleId="Judul3">
    <w:name w:val="heading 3"/>
    <w:basedOn w:val="Normal"/>
    <w:next w:val="Normal"/>
    <w:link w:val="Judul3KAR"/>
    <w:uiPriority w:val="9"/>
    <w:semiHidden/>
    <w:unhideWhenUsed/>
    <w:qFormat/>
    <w:rsid w:val="00CA760A"/>
    <w:pPr>
      <w:keepNext/>
      <w:keepLines/>
      <w:spacing w:before="160" w:after="80"/>
      <w:outlineLvl w:val="2"/>
    </w:pPr>
    <w:rPr>
      <w:rFonts w:eastAsia="Times New Roman"/>
      <w:color w:val="2F5496"/>
      <w:sz w:val="28"/>
      <w:szCs w:val="28"/>
    </w:rPr>
  </w:style>
  <w:style w:type="paragraph" w:styleId="Judul4">
    <w:name w:val="heading 4"/>
    <w:basedOn w:val="Normal"/>
    <w:next w:val="Normal"/>
    <w:link w:val="Judul4KAR"/>
    <w:uiPriority w:val="9"/>
    <w:semiHidden/>
    <w:unhideWhenUsed/>
    <w:qFormat/>
    <w:rsid w:val="00CA760A"/>
    <w:pPr>
      <w:keepNext/>
      <w:keepLines/>
      <w:spacing w:before="80" w:after="40"/>
      <w:outlineLvl w:val="3"/>
    </w:pPr>
    <w:rPr>
      <w:rFonts w:eastAsia="Times New Roman"/>
      <w:i/>
      <w:iCs/>
      <w:color w:val="2F5496"/>
    </w:rPr>
  </w:style>
  <w:style w:type="paragraph" w:styleId="Judul5">
    <w:name w:val="heading 5"/>
    <w:basedOn w:val="Normal"/>
    <w:next w:val="Normal"/>
    <w:link w:val="Judul5KAR"/>
    <w:uiPriority w:val="9"/>
    <w:semiHidden/>
    <w:unhideWhenUsed/>
    <w:qFormat/>
    <w:rsid w:val="00CA760A"/>
    <w:pPr>
      <w:keepNext/>
      <w:keepLines/>
      <w:spacing w:before="80" w:after="40"/>
      <w:outlineLvl w:val="4"/>
    </w:pPr>
    <w:rPr>
      <w:rFonts w:eastAsia="Times New Roman"/>
      <w:color w:val="2F5496"/>
    </w:rPr>
  </w:style>
  <w:style w:type="paragraph" w:styleId="Judul6">
    <w:name w:val="heading 6"/>
    <w:basedOn w:val="Normal"/>
    <w:next w:val="Normal"/>
    <w:link w:val="Judul6KAR"/>
    <w:uiPriority w:val="9"/>
    <w:semiHidden/>
    <w:unhideWhenUsed/>
    <w:qFormat/>
    <w:rsid w:val="00CA760A"/>
    <w:pPr>
      <w:keepNext/>
      <w:keepLines/>
      <w:spacing w:before="40"/>
      <w:outlineLvl w:val="5"/>
    </w:pPr>
    <w:rPr>
      <w:rFonts w:eastAsia="Times New Roman"/>
      <w:i/>
      <w:iCs/>
      <w:color w:val="595959"/>
    </w:rPr>
  </w:style>
  <w:style w:type="paragraph" w:styleId="Judul7">
    <w:name w:val="heading 7"/>
    <w:basedOn w:val="Normal"/>
    <w:next w:val="Normal"/>
    <w:link w:val="Judul7KAR"/>
    <w:uiPriority w:val="9"/>
    <w:semiHidden/>
    <w:unhideWhenUsed/>
    <w:qFormat/>
    <w:rsid w:val="00CA760A"/>
    <w:pPr>
      <w:keepNext/>
      <w:keepLines/>
      <w:spacing w:before="40"/>
      <w:outlineLvl w:val="6"/>
    </w:pPr>
    <w:rPr>
      <w:rFonts w:eastAsia="Times New Roman"/>
      <w:color w:val="595959"/>
    </w:rPr>
  </w:style>
  <w:style w:type="paragraph" w:styleId="Judul8">
    <w:name w:val="heading 8"/>
    <w:basedOn w:val="Normal"/>
    <w:next w:val="Normal"/>
    <w:link w:val="Judul8KAR"/>
    <w:uiPriority w:val="9"/>
    <w:semiHidden/>
    <w:unhideWhenUsed/>
    <w:qFormat/>
    <w:rsid w:val="00CA760A"/>
    <w:pPr>
      <w:keepNext/>
      <w:keepLines/>
      <w:outlineLvl w:val="7"/>
    </w:pPr>
    <w:rPr>
      <w:rFonts w:eastAsia="Times New Roman"/>
      <w:i/>
      <w:iCs/>
      <w:color w:val="272727"/>
    </w:rPr>
  </w:style>
  <w:style w:type="paragraph" w:styleId="Judul9">
    <w:name w:val="heading 9"/>
    <w:basedOn w:val="Normal"/>
    <w:next w:val="Normal"/>
    <w:link w:val="Judul9KAR"/>
    <w:uiPriority w:val="9"/>
    <w:semiHidden/>
    <w:unhideWhenUsed/>
    <w:qFormat/>
    <w:rsid w:val="00CA760A"/>
    <w:pPr>
      <w:keepNext/>
      <w:keepLines/>
      <w:outlineLvl w:val="8"/>
    </w:pPr>
    <w:rPr>
      <w:rFonts w:eastAsia="Times New Roman"/>
      <w:color w:val="272727"/>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link w:val="Judul1"/>
    <w:uiPriority w:val="9"/>
    <w:rsid w:val="00CA760A"/>
    <w:rPr>
      <w:rFonts w:ascii="Calibri Light" w:eastAsia="Times New Roman" w:hAnsi="Calibri Light" w:cs="Times New Roman"/>
      <w:color w:val="2F5496"/>
      <w:sz w:val="40"/>
      <w:szCs w:val="40"/>
    </w:rPr>
  </w:style>
  <w:style w:type="character" w:customStyle="1" w:styleId="Judul2KAR">
    <w:name w:val="Judul 2 KAR"/>
    <w:link w:val="Judul2"/>
    <w:uiPriority w:val="9"/>
    <w:semiHidden/>
    <w:rsid w:val="00CA760A"/>
    <w:rPr>
      <w:rFonts w:ascii="Calibri Light" w:eastAsia="Times New Roman" w:hAnsi="Calibri Light" w:cs="Times New Roman"/>
      <w:color w:val="2F5496"/>
      <w:sz w:val="32"/>
      <w:szCs w:val="32"/>
    </w:rPr>
  </w:style>
  <w:style w:type="character" w:customStyle="1" w:styleId="Judul3KAR">
    <w:name w:val="Judul 3 KAR"/>
    <w:link w:val="Judul3"/>
    <w:uiPriority w:val="9"/>
    <w:semiHidden/>
    <w:rsid w:val="00CA760A"/>
    <w:rPr>
      <w:rFonts w:eastAsia="Times New Roman" w:cs="Times New Roman"/>
      <w:color w:val="2F5496"/>
      <w:sz w:val="28"/>
      <w:szCs w:val="28"/>
    </w:rPr>
  </w:style>
  <w:style w:type="character" w:customStyle="1" w:styleId="Judul4KAR">
    <w:name w:val="Judul 4 KAR"/>
    <w:link w:val="Judul4"/>
    <w:uiPriority w:val="9"/>
    <w:semiHidden/>
    <w:rsid w:val="00CA760A"/>
    <w:rPr>
      <w:rFonts w:eastAsia="Times New Roman" w:cs="Times New Roman"/>
      <w:i/>
      <w:iCs/>
      <w:color w:val="2F5496"/>
    </w:rPr>
  </w:style>
  <w:style w:type="character" w:customStyle="1" w:styleId="Judul5KAR">
    <w:name w:val="Judul 5 KAR"/>
    <w:link w:val="Judul5"/>
    <w:uiPriority w:val="9"/>
    <w:semiHidden/>
    <w:rsid w:val="00CA760A"/>
    <w:rPr>
      <w:rFonts w:eastAsia="Times New Roman" w:cs="Times New Roman"/>
      <w:color w:val="2F5496"/>
    </w:rPr>
  </w:style>
  <w:style w:type="character" w:customStyle="1" w:styleId="Judul6KAR">
    <w:name w:val="Judul 6 KAR"/>
    <w:link w:val="Judul6"/>
    <w:uiPriority w:val="9"/>
    <w:semiHidden/>
    <w:rsid w:val="00CA760A"/>
    <w:rPr>
      <w:rFonts w:eastAsia="Times New Roman" w:cs="Times New Roman"/>
      <w:i/>
      <w:iCs/>
      <w:color w:val="595959"/>
    </w:rPr>
  </w:style>
  <w:style w:type="character" w:customStyle="1" w:styleId="Judul7KAR">
    <w:name w:val="Judul 7 KAR"/>
    <w:link w:val="Judul7"/>
    <w:uiPriority w:val="9"/>
    <w:semiHidden/>
    <w:rsid w:val="00CA760A"/>
    <w:rPr>
      <w:rFonts w:eastAsia="Times New Roman" w:cs="Times New Roman"/>
      <w:color w:val="595959"/>
    </w:rPr>
  </w:style>
  <w:style w:type="character" w:customStyle="1" w:styleId="Judul8KAR">
    <w:name w:val="Judul 8 KAR"/>
    <w:link w:val="Judul8"/>
    <w:uiPriority w:val="9"/>
    <w:semiHidden/>
    <w:rsid w:val="00CA760A"/>
    <w:rPr>
      <w:rFonts w:eastAsia="Times New Roman" w:cs="Times New Roman"/>
      <w:i/>
      <w:iCs/>
      <w:color w:val="272727"/>
    </w:rPr>
  </w:style>
  <w:style w:type="character" w:customStyle="1" w:styleId="Judul9KAR">
    <w:name w:val="Judul 9 KAR"/>
    <w:link w:val="Judul9"/>
    <w:uiPriority w:val="9"/>
    <w:semiHidden/>
    <w:rsid w:val="00CA760A"/>
    <w:rPr>
      <w:rFonts w:eastAsia="Times New Roman" w:cs="Times New Roman"/>
      <w:color w:val="272727"/>
    </w:rPr>
  </w:style>
  <w:style w:type="paragraph" w:styleId="Judul">
    <w:name w:val="Title"/>
    <w:basedOn w:val="Normal"/>
    <w:next w:val="Normal"/>
    <w:link w:val="JudulKAR"/>
    <w:uiPriority w:val="10"/>
    <w:qFormat/>
    <w:rsid w:val="00CA760A"/>
    <w:pPr>
      <w:spacing w:after="80" w:line="240" w:lineRule="auto"/>
      <w:contextualSpacing/>
    </w:pPr>
    <w:rPr>
      <w:rFonts w:ascii="Calibri Light" w:eastAsia="Times New Roman" w:hAnsi="Calibri Light"/>
      <w:spacing w:val="-10"/>
      <w:kern w:val="28"/>
      <w:sz w:val="56"/>
      <w:szCs w:val="56"/>
    </w:rPr>
  </w:style>
  <w:style w:type="character" w:customStyle="1" w:styleId="JudulKAR">
    <w:name w:val="Judul KAR"/>
    <w:link w:val="Judul"/>
    <w:uiPriority w:val="10"/>
    <w:rsid w:val="00CA760A"/>
    <w:rPr>
      <w:rFonts w:ascii="Calibri Light" w:eastAsia="Times New Roman" w:hAnsi="Calibri Light" w:cs="Times New Roman"/>
      <w:spacing w:val="-10"/>
      <w:kern w:val="28"/>
      <w:sz w:val="56"/>
      <w:szCs w:val="56"/>
    </w:rPr>
  </w:style>
  <w:style w:type="paragraph" w:styleId="Subjudul">
    <w:name w:val="Subtitle"/>
    <w:basedOn w:val="Normal"/>
    <w:next w:val="Normal"/>
    <w:link w:val="SubjudulKAR"/>
    <w:uiPriority w:val="11"/>
    <w:qFormat/>
    <w:rsid w:val="00CA760A"/>
    <w:pPr>
      <w:numPr>
        <w:ilvl w:val="1"/>
      </w:numPr>
    </w:pPr>
    <w:rPr>
      <w:rFonts w:eastAsia="Times New Roman"/>
      <w:color w:val="595959"/>
      <w:spacing w:val="15"/>
      <w:sz w:val="28"/>
      <w:szCs w:val="28"/>
    </w:rPr>
  </w:style>
  <w:style w:type="character" w:customStyle="1" w:styleId="SubjudulKAR">
    <w:name w:val="Subjudul KAR"/>
    <w:link w:val="Subjudul"/>
    <w:uiPriority w:val="11"/>
    <w:rsid w:val="00CA760A"/>
    <w:rPr>
      <w:rFonts w:eastAsia="Times New Roman" w:cs="Times New Roman"/>
      <w:color w:val="595959"/>
      <w:spacing w:val="15"/>
      <w:sz w:val="28"/>
      <w:szCs w:val="28"/>
    </w:rPr>
  </w:style>
  <w:style w:type="paragraph" w:styleId="Kutipan">
    <w:name w:val="Quote"/>
    <w:basedOn w:val="Normal"/>
    <w:next w:val="Normal"/>
    <w:link w:val="KutipanKAR"/>
    <w:uiPriority w:val="29"/>
    <w:qFormat/>
    <w:rsid w:val="00CA760A"/>
    <w:pPr>
      <w:spacing w:before="160"/>
      <w:jc w:val="center"/>
    </w:pPr>
    <w:rPr>
      <w:i/>
      <w:iCs/>
      <w:color w:val="404040"/>
    </w:rPr>
  </w:style>
  <w:style w:type="character" w:customStyle="1" w:styleId="KutipanKAR">
    <w:name w:val="Kutipan KAR"/>
    <w:link w:val="Kutipan"/>
    <w:uiPriority w:val="29"/>
    <w:rsid w:val="00CA760A"/>
    <w:rPr>
      <w:i/>
      <w:iCs/>
      <w:color w:val="404040"/>
    </w:rPr>
  </w:style>
  <w:style w:type="paragraph" w:styleId="DaftarParagraf">
    <w:name w:val="List Paragraph"/>
    <w:basedOn w:val="Normal"/>
    <w:uiPriority w:val="34"/>
    <w:qFormat/>
    <w:rsid w:val="00CA760A"/>
    <w:pPr>
      <w:ind w:left="720"/>
      <w:contextualSpacing/>
    </w:pPr>
  </w:style>
  <w:style w:type="character" w:styleId="PenekananKeras">
    <w:name w:val="Intense Emphasis"/>
    <w:uiPriority w:val="21"/>
    <w:qFormat/>
    <w:rsid w:val="00CA760A"/>
    <w:rPr>
      <w:i/>
      <w:iCs/>
      <w:color w:val="2F5496"/>
    </w:rPr>
  </w:style>
  <w:style w:type="paragraph" w:styleId="KutipanyangSering">
    <w:name w:val="Intense Quote"/>
    <w:basedOn w:val="Normal"/>
    <w:next w:val="Normal"/>
    <w:link w:val="KutipanyangSeringKAR"/>
    <w:uiPriority w:val="30"/>
    <w:qFormat/>
    <w:rsid w:val="00CA760A"/>
    <w:pPr>
      <w:pBdr>
        <w:top w:val="single" w:sz="4" w:space="10" w:color="2F5496"/>
        <w:bottom w:val="single" w:sz="4" w:space="10" w:color="2F5496"/>
      </w:pBdr>
      <w:spacing w:before="360" w:after="360"/>
      <w:ind w:left="864" w:right="864"/>
      <w:jc w:val="center"/>
    </w:pPr>
    <w:rPr>
      <w:i/>
      <w:iCs/>
      <w:color w:val="2F5496"/>
    </w:rPr>
  </w:style>
  <w:style w:type="character" w:customStyle="1" w:styleId="KutipanyangSeringKAR">
    <w:name w:val="Kutipan yang Sering KAR"/>
    <w:link w:val="KutipanyangSering"/>
    <w:uiPriority w:val="30"/>
    <w:rsid w:val="00CA760A"/>
    <w:rPr>
      <w:i/>
      <w:iCs/>
      <w:color w:val="2F5496"/>
    </w:rPr>
  </w:style>
  <w:style w:type="character" w:styleId="ReferensiyangSering">
    <w:name w:val="Intense Reference"/>
    <w:uiPriority w:val="32"/>
    <w:qFormat/>
    <w:rsid w:val="00CA760A"/>
    <w:rPr>
      <w:b/>
      <w:bCs/>
      <w:smallCaps/>
      <w:color w:val="2F5496"/>
      <w:spacing w:val="5"/>
    </w:rPr>
  </w:style>
  <w:style w:type="paragraph" w:customStyle="1" w:styleId="articletypeFAITH">
    <w:name w:val="article_type_FAITH"/>
    <w:next w:val="Normal"/>
    <w:qFormat/>
    <w:rsid w:val="00CA760A"/>
    <w:pPr>
      <w:adjustRightInd w:val="0"/>
      <w:snapToGrid w:val="0"/>
      <w:spacing w:before="240"/>
    </w:pPr>
    <w:rPr>
      <w:rFonts w:ascii="Garamond" w:eastAsia="Times New Roman" w:hAnsi="Garamond"/>
      <w:i/>
      <w:snapToGrid w:val="0"/>
      <w:color w:val="000000"/>
      <w:szCs w:val="22"/>
      <w:lang w:eastAsia="de-DE" w:bidi="en-US"/>
    </w:rPr>
  </w:style>
  <w:style w:type="paragraph" w:customStyle="1" w:styleId="JournalTitleFAITH">
    <w:name w:val="Journal_Title_FAITH"/>
    <w:next w:val="Normal"/>
    <w:qFormat/>
    <w:rsid w:val="00CA760A"/>
    <w:pPr>
      <w:adjustRightInd w:val="0"/>
      <w:snapToGrid w:val="0"/>
      <w:spacing w:after="240" w:line="240" w:lineRule="atLeast"/>
    </w:pPr>
    <w:rPr>
      <w:rFonts w:ascii="Garamond" w:eastAsia="Times New Roman" w:hAnsi="Garamond"/>
      <w:b/>
      <w:snapToGrid w:val="0"/>
      <w:color w:val="000000"/>
      <w:sz w:val="40"/>
      <w:lang w:eastAsia="de-DE" w:bidi="en-US"/>
    </w:rPr>
  </w:style>
  <w:style w:type="paragraph" w:customStyle="1" w:styleId="AuthorNamesFAITH">
    <w:name w:val="Author Names_FAITH"/>
    <w:next w:val="Normal"/>
    <w:qFormat/>
    <w:rsid w:val="00CA760A"/>
    <w:pPr>
      <w:adjustRightInd w:val="0"/>
      <w:snapToGrid w:val="0"/>
      <w:spacing w:after="360" w:line="260" w:lineRule="atLeast"/>
    </w:pPr>
    <w:rPr>
      <w:rFonts w:ascii="Garamond" w:eastAsia="Times New Roman" w:hAnsi="Garamond"/>
      <w:b/>
      <w:color w:val="000000"/>
      <w:sz w:val="22"/>
      <w:szCs w:val="22"/>
      <w:lang w:eastAsia="de-DE" w:bidi="en-US"/>
    </w:rPr>
  </w:style>
  <w:style w:type="paragraph" w:customStyle="1" w:styleId="historyFAITH">
    <w:name w:val="history_FAITH"/>
    <w:basedOn w:val="Normal"/>
    <w:next w:val="Normal"/>
    <w:qFormat/>
    <w:rsid w:val="00CA760A"/>
    <w:pPr>
      <w:adjustRightInd w:val="0"/>
      <w:snapToGrid w:val="0"/>
      <w:spacing w:line="240" w:lineRule="atLeast"/>
      <w:ind w:right="113"/>
      <w:jc w:val="left"/>
    </w:pPr>
    <w:rPr>
      <w:rFonts w:eastAsia="Times New Roman"/>
      <w:noProof w:val="0"/>
      <w:sz w:val="16"/>
      <w:lang w:eastAsia="de-DE" w:bidi="en-US"/>
    </w:rPr>
  </w:style>
  <w:style w:type="paragraph" w:customStyle="1" w:styleId="authoraffiliationFAITH">
    <w:name w:val="author_affiliation_FAITH"/>
    <w:qFormat/>
    <w:rsid w:val="00CA760A"/>
    <w:pPr>
      <w:adjustRightInd w:val="0"/>
      <w:snapToGrid w:val="0"/>
      <w:spacing w:line="200" w:lineRule="atLeast"/>
      <w:ind w:left="2806" w:hanging="198"/>
    </w:pPr>
    <w:rPr>
      <w:rFonts w:ascii="Garamond" w:eastAsia="Times New Roman" w:hAnsi="Garamond"/>
      <w:color w:val="000000"/>
      <w:sz w:val="18"/>
      <w:szCs w:val="18"/>
      <w:lang w:eastAsia="de-DE" w:bidi="en-US"/>
    </w:rPr>
  </w:style>
  <w:style w:type="paragraph" w:customStyle="1" w:styleId="abstractFAITH">
    <w:name w:val="abstract_FAITH"/>
    <w:next w:val="Normal"/>
    <w:qFormat/>
    <w:rsid w:val="00CA760A"/>
    <w:pPr>
      <w:adjustRightInd w:val="0"/>
      <w:snapToGrid w:val="0"/>
      <w:spacing w:before="240" w:line="260" w:lineRule="atLeast"/>
      <w:ind w:left="2608"/>
      <w:jc w:val="both"/>
    </w:pPr>
    <w:rPr>
      <w:rFonts w:ascii="Garamond" w:eastAsia="Times New Roman" w:hAnsi="Garamond"/>
      <w:color w:val="000000"/>
      <w:szCs w:val="22"/>
      <w:lang w:eastAsia="de-DE" w:bidi="en-US"/>
    </w:rPr>
  </w:style>
  <w:style w:type="paragraph" w:customStyle="1" w:styleId="keywordsFAITH">
    <w:name w:val="keywords_FAITH"/>
    <w:next w:val="Normal"/>
    <w:qFormat/>
    <w:rsid w:val="00CA760A"/>
    <w:pPr>
      <w:adjustRightInd w:val="0"/>
      <w:snapToGrid w:val="0"/>
      <w:spacing w:before="240" w:line="260" w:lineRule="atLeast"/>
      <w:ind w:left="2608"/>
      <w:jc w:val="both"/>
    </w:pPr>
    <w:rPr>
      <w:rFonts w:ascii="Garamond" w:eastAsia="Times New Roman" w:hAnsi="Garamond"/>
      <w:snapToGrid w:val="0"/>
      <w:color w:val="000000"/>
      <w:szCs w:val="22"/>
      <w:lang w:eastAsia="de-DE" w:bidi="en-US"/>
    </w:rPr>
  </w:style>
  <w:style w:type="paragraph" w:customStyle="1" w:styleId="MDPI19line">
    <w:name w:val="MDPI_1.9_line"/>
    <w:rsid w:val="00CA760A"/>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table" w:styleId="KisiTabel">
    <w:name w:val="Table Grid"/>
    <w:basedOn w:val="TabelNormal"/>
    <w:uiPriority w:val="59"/>
    <w:rsid w:val="00CA760A"/>
    <w:pPr>
      <w:spacing w:line="260" w:lineRule="atLeast"/>
      <w:jc w:val="both"/>
    </w:pPr>
    <w:rPr>
      <w:rFonts w:ascii="Palatino Linotype" w:eastAsia="SimSun" w:hAnsi="Palatino Linotype"/>
      <w:color w:val="00000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KAR"/>
    <w:uiPriority w:val="99"/>
    <w:rsid w:val="00CA760A"/>
    <w:pPr>
      <w:tabs>
        <w:tab w:val="center" w:pos="4153"/>
        <w:tab w:val="right" w:pos="8306"/>
      </w:tabs>
      <w:snapToGrid w:val="0"/>
      <w:spacing w:line="240" w:lineRule="atLeast"/>
    </w:pPr>
    <w:rPr>
      <w:szCs w:val="18"/>
    </w:rPr>
  </w:style>
  <w:style w:type="character" w:customStyle="1" w:styleId="FooterKAR">
    <w:name w:val="Footer KAR"/>
    <w:link w:val="Footer"/>
    <w:uiPriority w:val="99"/>
    <w:rsid w:val="00CA760A"/>
    <w:rPr>
      <w:rFonts w:ascii="Garamond" w:eastAsia="SimSun" w:hAnsi="Garamond" w:cs="Times New Roman"/>
      <w:b/>
      <w:noProof/>
      <w:color w:val="000000"/>
      <w:szCs w:val="18"/>
      <w:lang w:eastAsia="zh-CN"/>
    </w:rPr>
  </w:style>
  <w:style w:type="paragraph" w:styleId="Header">
    <w:name w:val="header"/>
    <w:basedOn w:val="Normal"/>
    <w:link w:val="HeaderKAR"/>
    <w:uiPriority w:val="99"/>
    <w:rsid w:val="00CA760A"/>
    <w:pPr>
      <w:pBdr>
        <w:bottom w:val="single" w:sz="6" w:space="1" w:color="auto"/>
      </w:pBdr>
      <w:tabs>
        <w:tab w:val="center" w:pos="4153"/>
        <w:tab w:val="right" w:pos="8306"/>
      </w:tabs>
      <w:snapToGrid w:val="0"/>
      <w:spacing w:line="240" w:lineRule="atLeast"/>
      <w:jc w:val="center"/>
    </w:pPr>
    <w:rPr>
      <w:szCs w:val="18"/>
    </w:rPr>
  </w:style>
  <w:style w:type="character" w:customStyle="1" w:styleId="HeaderKAR">
    <w:name w:val="Header KAR"/>
    <w:link w:val="Header"/>
    <w:uiPriority w:val="99"/>
    <w:rsid w:val="00CA760A"/>
    <w:rPr>
      <w:rFonts w:ascii="Garamond" w:eastAsia="SimSun" w:hAnsi="Garamond" w:cs="Times New Roman"/>
      <w:b/>
      <w:noProof/>
      <w:color w:val="000000"/>
      <w:szCs w:val="18"/>
      <w:lang w:eastAsia="zh-CN"/>
    </w:rPr>
  </w:style>
  <w:style w:type="paragraph" w:customStyle="1" w:styleId="maintextFAITH">
    <w:name w:val="maintext_FAITH"/>
    <w:link w:val="maintextFAITHChar"/>
    <w:qFormat/>
    <w:rsid w:val="00CA760A"/>
    <w:pPr>
      <w:adjustRightInd w:val="0"/>
      <w:snapToGrid w:val="0"/>
      <w:spacing w:line="228" w:lineRule="auto"/>
      <w:ind w:left="2608" w:firstLine="425"/>
      <w:jc w:val="both"/>
    </w:pPr>
    <w:rPr>
      <w:rFonts w:ascii="Garamond" w:eastAsia="Times New Roman" w:hAnsi="Garamond"/>
      <w:snapToGrid w:val="0"/>
      <w:color w:val="000000"/>
      <w:sz w:val="22"/>
      <w:szCs w:val="22"/>
      <w:lang w:eastAsia="de-DE" w:bidi="en-US"/>
    </w:rPr>
  </w:style>
  <w:style w:type="paragraph" w:customStyle="1" w:styleId="textbeforelistFAITH">
    <w:name w:val="text_before_list_FAITH"/>
    <w:qFormat/>
    <w:rsid w:val="00CA760A"/>
    <w:pPr>
      <w:adjustRightInd w:val="0"/>
      <w:snapToGrid w:val="0"/>
      <w:spacing w:line="228" w:lineRule="auto"/>
      <w:ind w:left="2608" w:firstLine="425"/>
      <w:jc w:val="both"/>
    </w:pPr>
    <w:rPr>
      <w:rFonts w:ascii="Garamond" w:eastAsia="Times New Roman" w:hAnsi="Garamond"/>
      <w:snapToGrid w:val="0"/>
      <w:color w:val="000000"/>
      <w:sz w:val="22"/>
      <w:szCs w:val="22"/>
      <w:lang w:eastAsia="de-DE" w:bidi="en-US"/>
    </w:rPr>
  </w:style>
  <w:style w:type="paragraph" w:customStyle="1" w:styleId="numberingFAITH">
    <w:name w:val="numbering_FAITH"/>
    <w:qFormat/>
    <w:rsid w:val="00CA760A"/>
    <w:pPr>
      <w:numPr>
        <w:numId w:val="1"/>
      </w:numPr>
      <w:adjustRightInd w:val="0"/>
      <w:snapToGrid w:val="0"/>
      <w:spacing w:line="228" w:lineRule="auto"/>
      <w:jc w:val="both"/>
    </w:pPr>
    <w:rPr>
      <w:rFonts w:ascii="Garamond" w:eastAsia="Times New Roman" w:hAnsi="Garamond"/>
      <w:color w:val="000000"/>
      <w:sz w:val="22"/>
      <w:szCs w:val="22"/>
      <w:lang w:eastAsia="de-DE" w:bidi="en-US"/>
    </w:rPr>
  </w:style>
  <w:style w:type="paragraph" w:customStyle="1" w:styleId="bulletFAITH">
    <w:name w:val="bullet_FAITH"/>
    <w:qFormat/>
    <w:rsid w:val="00CA760A"/>
    <w:pPr>
      <w:numPr>
        <w:numId w:val="2"/>
      </w:numPr>
      <w:adjustRightInd w:val="0"/>
      <w:snapToGrid w:val="0"/>
      <w:spacing w:line="228" w:lineRule="auto"/>
      <w:jc w:val="both"/>
    </w:pPr>
    <w:rPr>
      <w:rFonts w:ascii="Garamond" w:eastAsia="Times New Roman" w:hAnsi="Garamond"/>
      <w:color w:val="000000"/>
      <w:sz w:val="22"/>
      <w:szCs w:val="22"/>
      <w:lang w:eastAsia="de-DE" w:bidi="en-US"/>
    </w:rPr>
  </w:style>
  <w:style w:type="paragraph" w:customStyle="1" w:styleId="equationFAITH">
    <w:name w:val="equation_FAITH"/>
    <w:qFormat/>
    <w:rsid w:val="00CA760A"/>
    <w:pPr>
      <w:adjustRightInd w:val="0"/>
      <w:snapToGrid w:val="0"/>
      <w:spacing w:before="120" w:after="120" w:line="260" w:lineRule="atLeast"/>
      <w:jc w:val="center"/>
    </w:pPr>
    <w:rPr>
      <w:rFonts w:ascii="Garamond" w:eastAsia="Times New Roman" w:hAnsi="Garamond"/>
      <w:snapToGrid w:val="0"/>
      <w:color w:val="000000"/>
      <w:sz w:val="22"/>
      <w:szCs w:val="22"/>
      <w:lang w:eastAsia="de-DE" w:bidi="en-US"/>
    </w:rPr>
  </w:style>
  <w:style w:type="paragraph" w:customStyle="1" w:styleId="MDPI3aequationnumber">
    <w:name w:val="MDPI_3.a_equation_number"/>
    <w:rsid w:val="00CA760A"/>
    <w:pPr>
      <w:spacing w:before="120" w:after="120"/>
      <w:jc w:val="right"/>
    </w:pPr>
    <w:rPr>
      <w:rFonts w:ascii="Palatino Linotype" w:eastAsia="Times New Roman" w:hAnsi="Palatino Linotype"/>
      <w:snapToGrid w:val="0"/>
      <w:color w:val="000000"/>
      <w:szCs w:val="22"/>
      <w:lang w:eastAsia="de-DE" w:bidi="en-US"/>
    </w:rPr>
  </w:style>
  <w:style w:type="paragraph" w:customStyle="1" w:styleId="tablecaptionFAITH">
    <w:name w:val="table_caption_FAITH"/>
    <w:qFormat/>
    <w:rsid w:val="00CA760A"/>
    <w:pPr>
      <w:adjustRightInd w:val="0"/>
      <w:snapToGrid w:val="0"/>
      <w:spacing w:before="240" w:after="120" w:line="228" w:lineRule="auto"/>
      <w:ind w:left="2608"/>
      <w:jc w:val="center"/>
    </w:pPr>
    <w:rPr>
      <w:rFonts w:ascii="Garamond" w:eastAsia="Times New Roman" w:hAnsi="Garamond" w:cs="Cordia New"/>
      <w:color w:val="000000"/>
      <w:szCs w:val="22"/>
      <w:lang w:eastAsia="de-DE" w:bidi="en-US"/>
    </w:rPr>
  </w:style>
  <w:style w:type="paragraph" w:customStyle="1" w:styleId="tablecontentFAITH">
    <w:name w:val="table_content_FAITH"/>
    <w:qFormat/>
    <w:rsid w:val="00CA760A"/>
    <w:pPr>
      <w:adjustRightInd w:val="0"/>
      <w:snapToGrid w:val="0"/>
      <w:spacing w:line="260" w:lineRule="atLeast"/>
      <w:jc w:val="center"/>
    </w:pPr>
    <w:rPr>
      <w:rFonts w:ascii="Garamond" w:eastAsia="Times New Roman" w:hAnsi="Garamond"/>
      <w:snapToGrid w:val="0"/>
      <w:color w:val="000000"/>
      <w:lang w:eastAsia="de-DE" w:bidi="en-US"/>
    </w:rPr>
  </w:style>
  <w:style w:type="paragraph" w:customStyle="1" w:styleId="tablefooterJCTA">
    <w:name w:val="table_footer_JCTA"/>
    <w:next w:val="maintextFAITH"/>
    <w:rsid w:val="00CA760A"/>
    <w:pPr>
      <w:adjustRightInd w:val="0"/>
      <w:snapToGrid w:val="0"/>
      <w:spacing w:line="228" w:lineRule="auto"/>
      <w:ind w:left="2608"/>
      <w:jc w:val="both"/>
    </w:pPr>
    <w:rPr>
      <w:rFonts w:ascii="Garamond" w:eastAsia="Times New Roman" w:hAnsi="Garamond" w:cs="Cordia New"/>
      <w:color w:val="000000"/>
      <w:szCs w:val="22"/>
      <w:lang w:eastAsia="de-DE" w:bidi="en-US"/>
    </w:rPr>
  </w:style>
  <w:style w:type="paragraph" w:customStyle="1" w:styleId="figurecaptionFAITH">
    <w:name w:val="figure_caption_FAITH"/>
    <w:qFormat/>
    <w:rsid w:val="00CA760A"/>
    <w:pPr>
      <w:adjustRightInd w:val="0"/>
      <w:snapToGrid w:val="0"/>
      <w:spacing w:before="120" w:after="240" w:line="228" w:lineRule="auto"/>
      <w:ind w:left="2608"/>
      <w:jc w:val="center"/>
    </w:pPr>
    <w:rPr>
      <w:rFonts w:ascii="Garamond" w:eastAsia="Times New Roman" w:hAnsi="Garamond"/>
      <w:color w:val="000000"/>
      <w:lang w:eastAsia="de-DE" w:bidi="en-US"/>
    </w:rPr>
  </w:style>
  <w:style w:type="paragraph" w:customStyle="1" w:styleId="figureFAITH">
    <w:name w:val="figure_FAITH"/>
    <w:basedOn w:val="figurecaptionFAITH"/>
    <w:next w:val="maintextFAITH"/>
    <w:qFormat/>
    <w:rsid w:val="00CA760A"/>
    <w:pPr>
      <w:spacing w:before="240" w:after="120"/>
    </w:pPr>
    <w:rPr>
      <w:snapToGrid w:val="0"/>
    </w:rPr>
  </w:style>
  <w:style w:type="paragraph" w:customStyle="1" w:styleId="heading3FAITH">
    <w:name w:val="heading3_FAITH"/>
    <w:qFormat/>
    <w:rsid w:val="00CA760A"/>
    <w:pPr>
      <w:adjustRightInd w:val="0"/>
      <w:snapToGrid w:val="0"/>
      <w:spacing w:before="60" w:after="60" w:line="228" w:lineRule="auto"/>
      <w:ind w:left="2608"/>
      <w:outlineLvl w:val="2"/>
    </w:pPr>
    <w:rPr>
      <w:rFonts w:ascii="Garamond" w:eastAsia="Times New Roman" w:hAnsi="Garamond"/>
      <w:b/>
      <w:i/>
      <w:snapToGrid w:val="0"/>
      <w:color w:val="000000"/>
      <w:sz w:val="22"/>
      <w:szCs w:val="22"/>
      <w:lang w:eastAsia="de-DE" w:bidi="en-US"/>
    </w:rPr>
  </w:style>
  <w:style w:type="paragraph" w:customStyle="1" w:styleId="heading1FAITH">
    <w:name w:val="heading1_FAITH"/>
    <w:qFormat/>
    <w:rsid w:val="00CA760A"/>
    <w:pPr>
      <w:adjustRightInd w:val="0"/>
      <w:snapToGrid w:val="0"/>
      <w:spacing w:before="240" w:after="60" w:line="228" w:lineRule="auto"/>
      <w:ind w:left="2608"/>
      <w:outlineLvl w:val="0"/>
    </w:pPr>
    <w:rPr>
      <w:rFonts w:ascii="Garamond" w:eastAsia="Times New Roman" w:hAnsi="Garamond"/>
      <w:b/>
      <w:snapToGrid w:val="0"/>
      <w:color w:val="000000"/>
      <w:sz w:val="24"/>
      <w:szCs w:val="22"/>
      <w:lang w:eastAsia="de-DE" w:bidi="en-US"/>
    </w:rPr>
  </w:style>
  <w:style w:type="paragraph" w:customStyle="1" w:styleId="heading2FAITH">
    <w:name w:val="heading2_FAITH"/>
    <w:qFormat/>
    <w:rsid w:val="00CA760A"/>
    <w:pPr>
      <w:adjustRightInd w:val="0"/>
      <w:snapToGrid w:val="0"/>
      <w:spacing w:before="240" w:after="60" w:line="228" w:lineRule="auto"/>
      <w:ind w:left="2608"/>
      <w:outlineLvl w:val="1"/>
    </w:pPr>
    <w:rPr>
      <w:rFonts w:ascii="Garamond" w:eastAsia="Times New Roman" w:hAnsi="Garamond"/>
      <w:b/>
      <w:noProof/>
      <w:snapToGrid w:val="0"/>
      <w:color w:val="000000"/>
      <w:sz w:val="22"/>
      <w:szCs w:val="22"/>
      <w:lang w:eastAsia="de-DE" w:bidi="en-US"/>
    </w:rPr>
  </w:style>
  <w:style w:type="paragraph" w:customStyle="1" w:styleId="ReferencesFAITH">
    <w:name w:val="References_FAITH"/>
    <w:qFormat/>
    <w:rsid w:val="00CA760A"/>
    <w:pPr>
      <w:adjustRightInd w:val="0"/>
      <w:snapToGrid w:val="0"/>
      <w:spacing w:line="228" w:lineRule="auto"/>
      <w:ind w:left="397" w:hanging="397"/>
      <w:jc w:val="both"/>
    </w:pPr>
    <w:rPr>
      <w:rFonts w:ascii="Garamond" w:eastAsia="Times New Roman" w:hAnsi="Garamond"/>
      <w:color w:val="000000"/>
      <w:lang w:eastAsia="de-DE" w:bidi="en-US"/>
    </w:rPr>
  </w:style>
  <w:style w:type="character" w:styleId="Hyperlink">
    <w:name w:val="Hyperlink"/>
    <w:uiPriority w:val="99"/>
    <w:rsid w:val="00CA760A"/>
    <w:rPr>
      <w:color w:val="0000FF"/>
      <w:u w:val="single"/>
    </w:rPr>
  </w:style>
  <w:style w:type="paragraph" w:customStyle="1" w:styleId="theoremFAITH">
    <w:name w:val="theorem_FAITH"/>
    <w:qFormat/>
    <w:rsid w:val="00CA760A"/>
    <w:pPr>
      <w:adjustRightInd w:val="0"/>
      <w:snapToGrid w:val="0"/>
      <w:spacing w:line="228" w:lineRule="auto"/>
      <w:ind w:left="2608"/>
      <w:jc w:val="both"/>
    </w:pPr>
    <w:rPr>
      <w:rFonts w:ascii="Garamond" w:eastAsia="Times New Roman" w:hAnsi="Garamond"/>
      <w:i/>
      <w:snapToGrid w:val="0"/>
      <w:color w:val="000000"/>
      <w:sz w:val="22"/>
      <w:szCs w:val="22"/>
      <w:lang w:eastAsia="de-DE" w:bidi="en-US"/>
    </w:rPr>
  </w:style>
  <w:style w:type="paragraph" w:customStyle="1" w:styleId="proofFAITH">
    <w:name w:val="proof_FAITH"/>
    <w:qFormat/>
    <w:rsid w:val="00CA760A"/>
    <w:pPr>
      <w:adjustRightInd w:val="0"/>
      <w:snapToGrid w:val="0"/>
      <w:spacing w:line="228" w:lineRule="auto"/>
      <w:ind w:left="2608"/>
      <w:jc w:val="both"/>
    </w:pPr>
    <w:rPr>
      <w:rFonts w:ascii="Garamond" w:eastAsia="Times New Roman" w:hAnsi="Garamond"/>
      <w:snapToGrid w:val="0"/>
      <w:color w:val="000000"/>
      <w:sz w:val="22"/>
      <w:szCs w:val="22"/>
      <w:lang w:eastAsia="de-DE" w:bidi="en-US"/>
    </w:rPr>
  </w:style>
  <w:style w:type="paragraph" w:customStyle="1" w:styleId="BackMatterFAITH">
    <w:name w:val="BackMatter_FAITH"/>
    <w:qFormat/>
    <w:rsid w:val="00CA760A"/>
    <w:pPr>
      <w:adjustRightInd w:val="0"/>
      <w:snapToGrid w:val="0"/>
      <w:spacing w:after="120" w:line="228" w:lineRule="auto"/>
      <w:ind w:left="2608"/>
      <w:jc w:val="both"/>
    </w:pPr>
    <w:rPr>
      <w:rFonts w:ascii="Garamond" w:eastAsia="Times New Roman" w:hAnsi="Garamond"/>
      <w:snapToGrid w:val="0"/>
      <w:color w:val="000000"/>
      <w:sz w:val="22"/>
      <w:lang w:bidi="en-US"/>
    </w:rPr>
  </w:style>
  <w:style w:type="paragraph" w:customStyle="1" w:styleId="punctuatetextFAITH">
    <w:name w:val="punctuate_text_FAITH"/>
    <w:basedOn w:val="maintextFAITH"/>
    <w:link w:val="punctuatetextFAITHChar"/>
    <w:qFormat/>
    <w:rsid w:val="00CA760A"/>
    <w:pPr>
      <w:ind w:firstLine="0"/>
    </w:pPr>
  </w:style>
  <w:style w:type="paragraph" w:customStyle="1" w:styleId="AlgorithmheadFAITH">
    <w:name w:val="Algorithm_head_FAITH"/>
    <w:basedOn w:val="maintextFAITH"/>
    <w:link w:val="AlgorithmheadFAITHChar"/>
    <w:qFormat/>
    <w:rsid w:val="00CA760A"/>
    <w:pPr>
      <w:ind w:left="0" w:firstLine="0"/>
    </w:pPr>
    <w:rPr>
      <w:b/>
      <w:bCs/>
    </w:rPr>
  </w:style>
  <w:style w:type="character" w:customStyle="1" w:styleId="maintextFAITHChar">
    <w:name w:val="maintext_FAITH Char"/>
    <w:link w:val="maintextFAITH"/>
    <w:rsid w:val="00CA760A"/>
    <w:rPr>
      <w:rFonts w:ascii="Garamond" w:eastAsia="Times New Roman" w:hAnsi="Garamond" w:cs="Times New Roman"/>
      <w:snapToGrid w:val="0"/>
      <w:color w:val="000000"/>
      <w:lang w:eastAsia="de-DE" w:bidi="en-US"/>
    </w:rPr>
  </w:style>
  <w:style w:type="character" w:customStyle="1" w:styleId="punctuatetextFAITHChar">
    <w:name w:val="punctuate_text_FAITH Char"/>
    <w:link w:val="punctuatetextFAITH"/>
    <w:rsid w:val="00CA760A"/>
  </w:style>
  <w:style w:type="paragraph" w:customStyle="1" w:styleId="algorithmstepFAITH">
    <w:name w:val="algorithm_step_FAITH"/>
    <w:basedOn w:val="maintextFAITH"/>
    <w:link w:val="algorithmstepFAITHChar"/>
    <w:qFormat/>
    <w:rsid w:val="00CA760A"/>
    <w:pPr>
      <w:numPr>
        <w:numId w:val="3"/>
      </w:numPr>
    </w:pPr>
  </w:style>
  <w:style w:type="character" w:customStyle="1" w:styleId="AlgorithmheadFAITHChar">
    <w:name w:val="Algorithm_head_FAITH Char"/>
    <w:link w:val="AlgorithmheadFAITH"/>
    <w:rsid w:val="00CA760A"/>
    <w:rPr>
      <w:rFonts w:ascii="Garamond" w:eastAsia="Times New Roman" w:hAnsi="Garamond" w:cs="Times New Roman"/>
      <w:b/>
      <w:bCs/>
      <w:snapToGrid w:val="0"/>
      <w:color w:val="000000"/>
      <w:lang w:eastAsia="de-DE" w:bidi="en-US"/>
    </w:rPr>
  </w:style>
  <w:style w:type="character" w:customStyle="1" w:styleId="algorithmstepFAITHChar">
    <w:name w:val="algorithm_step_FAITH Char"/>
    <w:link w:val="algorithmstepFAITH"/>
    <w:rsid w:val="00CA760A"/>
  </w:style>
  <w:style w:type="character" w:styleId="SebutanYangBelumTerselesaikan">
    <w:name w:val="Unresolved Mention"/>
    <w:basedOn w:val="FontParagrafDefault"/>
    <w:uiPriority w:val="99"/>
    <w:semiHidden/>
    <w:unhideWhenUsed/>
    <w:rsid w:val="00C132D2"/>
    <w:rPr>
      <w:color w:val="605E5C"/>
      <w:shd w:val="clear" w:color="auto" w:fill="E1DFDD"/>
    </w:rPr>
  </w:style>
  <w:style w:type="paragraph" w:styleId="Bibliografi">
    <w:name w:val="Bibliography"/>
    <w:basedOn w:val="Normal"/>
    <w:next w:val="Normal"/>
    <w:uiPriority w:val="37"/>
    <w:unhideWhenUsed/>
    <w:rsid w:val="00FD5E6B"/>
    <w:pPr>
      <w:spacing w:line="480" w:lineRule="atLeast"/>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urnal.ikadi.or.id/index.php/attadris/article/view/77" TargetMode="External"/><Relationship Id="rId18" Type="http://schemas.openxmlformats.org/officeDocument/2006/relationships/hyperlink" Target="https://doi.org/10.4102/hts.v74i4.4802" TargetMode="External"/><Relationship Id="rId26" Type="http://schemas.openxmlformats.org/officeDocument/2006/relationships/hyperlink" Target="https://doi.org/10.58806/ijirme.2024.v3i5n26" TargetMode="External"/><Relationship Id="rId21" Type="http://schemas.openxmlformats.org/officeDocument/2006/relationships/hyperlink" Target="https://doi.org/10.1177/106591298704000308" TargetMode="External"/><Relationship Id="rId34"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https://doi.org/10.55849/jnhl.v2i1.850" TargetMode="External"/><Relationship Id="rId17" Type="http://schemas.openxmlformats.org/officeDocument/2006/relationships/hyperlink" Target="https://doi.org/10.1108/JRIT-02-2019-0023" TargetMode="External"/><Relationship Id="rId25" Type="http://schemas.openxmlformats.org/officeDocument/2006/relationships/hyperlink" Target="https://doi.org/10.46773/muaddib.v6i1.1131"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doi.org/10.51878/learning.v4i4.3823" TargetMode="External"/><Relationship Id="rId20" Type="http://schemas.openxmlformats.org/officeDocument/2006/relationships/hyperlink" Target="https://doi.org/10.55210/al-fikru.v5i2.1868" TargetMode="External"/><Relationship Id="rId29" Type="http://schemas.openxmlformats.org/officeDocument/2006/relationships/hyperlink" Target="https://doi.org/10.3390/computers1207014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591/ijere.v11i4.22116" TargetMode="External"/><Relationship Id="rId24" Type="http://schemas.openxmlformats.org/officeDocument/2006/relationships/hyperlink" Target="https://doi.org/10.1177/1468794115579475"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36654/educatif.v4i1.275" TargetMode="External"/><Relationship Id="rId23" Type="http://schemas.openxmlformats.org/officeDocument/2006/relationships/hyperlink" Target="https://doi.org/10.35631/ijmoe.623059" TargetMode="External"/><Relationship Id="rId28" Type="http://schemas.openxmlformats.org/officeDocument/2006/relationships/hyperlink" Target="https://doi.org/10.1177/1098214017734305" TargetMode="External"/><Relationship Id="rId36" Type="http://schemas.openxmlformats.org/officeDocument/2006/relationships/fontTable" Target="fontTable.xml"/><Relationship Id="rId10" Type="http://schemas.openxmlformats.org/officeDocument/2006/relationships/hyperlink" Target="https://doi.org/10.1016/j.ijer.2017.12.001" TargetMode="External"/><Relationship Id="rId19" Type="http://schemas.openxmlformats.org/officeDocument/2006/relationships/hyperlink" Target="https://www.publish.ojs-indonesia.com/index.php/SIBATIK/article/view/504"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m.alraviazis@staisabili.ac.id" TargetMode="External"/><Relationship Id="rId14" Type="http://schemas.openxmlformats.org/officeDocument/2006/relationships/hyperlink" Target="https://doi.org/10.3390/jintelligence11090185" TargetMode="External"/><Relationship Id="rId22" Type="http://schemas.openxmlformats.org/officeDocument/2006/relationships/hyperlink" Target="https://doi.org/10.35631/ijmoe.623059" TargetMode="External"/><Relationship Id="rId27" Type="http://schemas.openxmlformats.org/officeDocument/2006/relationships/hyperlink" Target="https://doi.org/10.59923/spiritus.v2i2.130"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https://creativecommons.org/licenses/by-sa/4.0/" TargetMode="External"/><Relationship Id="rId3" Type="http://schemas.openxmlformats.org/officeDocument/2006/relationships/settings" Target="settings.xml"/></Relationships>
</file>

<file path=word/_rels/footer3.xml.rels><?xml version="1.0" encoding="UTF-8" standalone="yes"?>
<Relationships xmlns="http://schemas.openxmlformats.org/package/2006/relationships"><Relationship Id="rId2" Type="http://schemas.openxmlformats.org/officeDocument/2006/relationships/hyperlink" Target="https://prosiding.appisi.or.id/index.php/ICSSHI" TargetMode="External"/><Relationship Id="rId1" Type="http://schemas.openxmlformats.org/officeDocument/2006/relationships/hyperlink" Target="https://doi.org/10.70062/icsshi.v2i2.71"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18393</Words>
  <Characters>104845</Characters>
  <Application>Microsoft Office Word</Application>
  <DocSecurity>0</DocSecurity>
  <Lines>873</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122993</CharactersWithSpaces>
  <SharedDoc>false</SharedDoc>
  <HLinks>
    <vt:vector size="18" baseType="variant">
      <vt:variant>
        <vt:i4>3604606</vt:i4>
      </vt:variant>
      <vt:variant>
        <vt:i4>0</vt:i4>
      </vt:variant>
      <vt:variant>
        <vt:i4>0</vt:i4>
      </vt:variant>
      <vt:variant>
        <vt:i4>5</vt:i4>
      </vt:variant>
      <vt:variant>
        <vt:lpwstr>https://creativecommons.org/licenses/by-sa/4.0/</vt:lpwstr>
      </vt:variant>
      <vt:variant>
        <vt:lpwstr/>
      </vt:variant>
      <vt:variant>
        <vt:i4>5177361</vt:i4>
      </vt:variant>
      <vt:variant>
        <vt:i4>9</vt:i4>
      </vt:variant>
      <vt:variant>
        <vt:i4>0</vt:i4>
      </vt:variant>
      <vt:variant>
        <vt:i4>5</vt:i4>
      </vt:variant>
      <vt:variant>
        <vt:lpwstr>https://journal.amikveteran.ac.id/index.php/ijmh</vt:lpwstr>
      </vt:variant>
      <vt:variant>
        <vt:lpwstr/>
      </vt:variant>
      <vt:variant>
        <vt:i4>2556013</vt:i4>
      </vt:variant>
      <vt:variant>
        <vt:i4>6</vt:i4>
      </vt:variant>
      <vt:variant>
        <vt:i4>0</vt:i4>
      </vt:variant>
      <vt:variant>
        <vt:i4>5</vt:i4>
      </vt:variant>
      <vt:variant>
        <vt:lpwstr>https://doi.org/10.55606/ijmh.v4i1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Reviw</cp:lastModifiedBy>
  <cp:revision>6</cp:revision>
  <cp:lastPrinted>2026-01-12T07:25:00Z</cp:lastPrinted>
  <dcterms:created xsi:type="dcterms:W3CDTF">2026-01-12T07:18:00Z</dcterms:created>
  <dcterms:modified xsi:type="dcterms:W3CDTF">2026-01-12T07:26:00Z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id="ZVCKkCiK"/&gt;&lt;style id="http://www.zotero.org/styles/apa" locale="id-ID"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